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27" w:rsidRPr="00BC4CFA" w:rsidRDefault="002B6778" w:rsidP="0071098B">
      <w:pPr>
        <w:pStyle w:val="Bodytext20"/>
        <w:shd w:val="clear" w:color="auto" w:fill="auto"/>
        <w:spacing w:after="160" w:line="360" w:lineRule="auto"/>
        <w:ind w:left="3969"/>
        <w:jc w:val="center"/>
        <w:rPr>
          <w:rFonts w:ascii="GHEA Grapalat" w:hAnsi="GHEA Grapalat"/>
          <w:sz w:val="24"/>
          <w:szCs w:val="24"/>
        </w:rPr>
      </w:pPr>
      <w:bookmarkStart w:id="0" w:name="_GoBack"/>
      <w:bookmarkEnd w:id="0"/>
      <w:r w:rsidRPr="00BC4CFA">
        <w:rPr>
          <w:rStyle w:val="Bodytext2TimesNewRoman0"/>
          <w:rFonts w:ascii="GHEA Grapalat" w:eastAsia="Sylfaen" w:hAnsi="GHEA Grapalat"/>
          <w:sz w:val="24"/>
          <w:szCs w:val="24"/>
        </w:rPr>
        <w:t xml:space="preserve">Հավելված </w:t>
      </w:r>
      <w:r w:rsidR="004B1D58" w:rsidRPr="00BC4CFA">
        <w:rPr>
          <w:rStyle w:val="Bodytext2TimesNewRoman0"/>
          <w:rFonts w:ascii="GHEA Grapalat" w:eastAsia="Sylfaen" w:hAnsi="GHEA Grapalat"/>
          <w:sz w:val="24"/>
          <w:szCs w:val="24"/>
        </w:rPr>
        <w:t xml:space="preserve">թիվ </w:t>
      </w:r>
      <w:r w:rsidRPr="00BC4CFA">
        <w:rPr>
          <w:rStyle w:val="Bodytext2TimesNewRoman0"/>
          <w:rFonts w:ascii="GHEA Grapalat" w:eastAsia="Sylfaen" w:hAnsi="GHEA Grapalat"/>
          <w:sz w:val="24"/>
          <w:szCs w:val="24"/>
        </w:rPr>
        <w:t>1</w:t>
      </w:r>
    </w:p>
    <w:p w:rsidR="00203B27" w:rsidRPr="00BC4CFA" w:rsidRDefault="002B6778" w:rsidP="0071098B">
      <w:pPr>
        <w:pStyle w:val="Bodytext20"/>
        <w:shd w:val="clear" w:color="auto" w:fill="auto"/>
        <w:spacing w:after="160" w:line="360" w:lineRule="auto"/>
        <w:ind w:left="3969"/>
        <w:jc w:val="center"/>
        <w:rPr>
          <w:rStyle w:val="Bodytext2TimesNewRoman0"/>
          <w:rFonts w:ascii="GHEA Grapalat" w:eastAsia="Sylfaen" w:hAnsi="GHEA Grapalat"/>
          <w:sz w:val="24"/>
          <w:szCs w:val="24"/>
        </w:rPr>
      </w:pPr>
      <w:r w:rsidRPr="00BC4CFA">
        <w:rPr>
          <w:rStyle w:val="Bodytext2TimesNewRoman0"/>
          <w:rFonts w:ascii="GHEA Grapalat" w:eastAsia="Sylfaen" w:hAnsi="GHEA Grapalat"/>
          <w:sz w:val="24"/>
          <w:szCs w:val="24"/>
        </w:rPr>
        <w:t>Մաքսային միության անդամ պետությունների մաքսային ծառայությունների միավորված կոլեգիայի 8/7 որոշման</w:t>
      </w:r>
    </w:p>
    <w:p w:rsidR="0071098B" w:rsidRPr="00BC4CFA" w:rsidRDefault="0071098B" w:rsidP="0071098B">
      <w:pPr>
        <w:pStyle w:val="Bodytext20"/>
        <w:shd w:val="clear" w:color="auto" w:fill="auto"/>
        <w:spacing w:after="160" w:line="360" w:lineRule="auto"/>
        <w:ind w:left="3969"/>
        <w:jc w:val="center"/>
        <w:rPr>
          <w:rFonts w:ascii="GHEA Grapalat" w:hAnsi="GHEA Grapalat"/>
          <w:sz w:val="24"/>
          <w:szCs w:val="24"/>
        </w:rPr>
      </w:pPr>
    </w:p>
    <w:p w:rsidR="00203B27" w:rsidRPr="00BC4CFA" w:rsidRDefault="002B6778" w:rsidP="00873B99">
      <w:pPr>
        <w:pStyle w:val="Bodytext60"/>
        <w:shd w:val="clear" w:color="auto" w:fill="auto"/>
        <w:spacing w:before="0" w:after="160" w:line="360" w:lineRule="auto"/>
        <w:ind w:left="60"/>
        <w:rPr>
          <w:rFonts w:ascii="GHEA Grapalat" w:hAnsi="GHEA Grapalat"/>
          <w:sz w:val="24"/>
          <w:szCs w:val="24"/>
        </w:rPr>
      </w:pPr>
      <w:r w:rsidRPr="00BC4CFA">
        <w:rPr>
          <w:rStyle w:val="Bodytext6TimesNewRoman"/>
          <w:rFonts w:ascii="GHEA Grapalat" w:eastAsia="Sylfaen" w:hAnsi="GHEA Grapalat"/>
          <w:b/>
          <w:sz w:val="24"/>
          <w:szCs w:val="24"/>
        </w:rPr>
        <w:t xml:space="preserve">Ապրանքները, արտաքին տնտեսական գործառնությունները </w:t>
      </w:r>
      <w:r w:rsidR="00F714B7">
        <w:rPr>
          <w:rStyle w:val="Bodytext6TimesNewRoman"/>
          <w:rFonts w:ascii="GHEA Grapalat" w:eastAsia="Sylfaen" w:hAnsi="GHEA Grapalat"/>
          <w:b/>
          <w:sz w:val="24"/>
          <w:szCs w:val="24"/>
        </w:rPr>
        <w:t>և</w:t>
      </w:r>
      <w:r w:rsidRPr="00BC4CFA">
        <w:rPr>
          <w:rStyle w:val="Bodytext6TimesNewRoman"/>
          <w:rFonts w:ascii="GHEA Grapalat" w:eastAsia="Sylfaen" w:hAnsi="GHEA Grapalat"/>
          <w:b/>
          <w:sz w:val="24"/>
          <w:szCs w:val="24"/>
        </w:rPr>
        <w:t xml:space="preserve"> անձանց ռիսկի խմբերին դասելու տիպային չափանիշների ցանկը </w:t>
      </w:r>
    </w:p>
    <w:tbl>
      <w:tblPr>
        <w:tblOverlap w:val="never"/>
        <w:tblW w:w="9524" w:type="dxa"/>
        <w:jc w:val="center"/>
        <w:tblInd w:w="-388" w:type="dxa"/>
        <w:tblLayout w:type="fixed"/>
        <w:tblCellMar>
          <w:left w:w="10" w:type="dxa"/>
          <w:right w:w="10" w:type="dxa"/>
        </w:tblCellMar>
        <w:tblLook w:val="0000" w:firstRow="0" w:lastRow="0" w:firstColumn="0" w:lastColumn="0" w:noHBand="0" w:noVBand="0"/>
      </w:tblPr>
      <w:tblGrid>
        <w:gridCol w:w="1180"/>
        <w:gridCol w:w="8344"/>
      </w:tblGrid>
      <w:tr w:rsidR="00203B27" w:rsidRPr="00BC4CFA" w:rsidTr="00D90B98">
        <w:trPr>
          <w:tblHeader/>
          <w:jc w:val="center"/>
        </w:trPr>
        <w:tc>
          <w:tcPr>
            <w:tcW w:w="1180" w:type="dxa"/>
            <w:tcBorders>
              <w:top w:val="single" w:sz="4" w:space="0" w:color="auto"/>
              <w:lef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Համարը՝ ը/կ</w:t>
            </w:r>
          </w:p>
        </w:tc>
        <w:tc>
          <w:tcPr>
            <w:tcW w:w="8344" w:type="dxa"/>
            <w:tcBorders>
              <w:top w:val="single" w:sz="4" w:space="0" w:color="auto"/>
              <w:left w:val="single" w:sz="4" w:space="0" w:color="auto"/>
              <w:righ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Չափանիշի անվանումը</w:t>
            </w:r>
          </w:p>
        </w:tc>
      </w:tr>
      <w:tr w:rsidR="00203B27" w:rsidRPr="00BC4CFA" w:rsidTr="00293E5A">
        <w:trPr>
          <w:jc w:val="center"/>
        </w:trPr>
        <w:tc>
          <w:tcPr>
            <w:tcW w:w="9524" w:type="dxa"/>
            <w:gridSpan w:val="2"/>
            <w:tcBorders>
              <w:top w:val="single" w:sz="4" w:space="0" w:color="auto"/>
              <w:left w:val="single" w:sz="4" w:space="0" w:color="auto"/>
              <w:right w:val="single" w:sz="4" w:space="0" w:color="auto"/>
            </w:tcBorders>
            <w:shd w:val="clear" w:color="auto" w:fill="FFFFFF"/>
            <w:vAlign w:val="bottom"/>
          </w:tcPr>
          <w:p w:rsidR="00203B27" w:rsidRPr="00BC4CFA" w:rsidRDefault="004B1D58" w:rsidP="0022366F">
            <w:pPr>
              <w:pStyle w:val="Bodytext20"/>
              <w:shd w:val="clear" w:color="auto" w:fill="auto"/>
              <w:spacing w:line="240" w:lineRule="auto"/>
              <w:ind w:left="60" w:right="59"/>
              <w:jc w:val="center"/>
              <w:rPr>
                <w:rFonts w:ascii="GHEA Grapalat" w:hAnsi="GHEA Grapalat"/>
                <w:b/>
                <w:sz w:val="24"/>
                <w:szCs w:val="24"/>
              </w:rPr>
            </w:pPr>
            <w:r w:rsidRPr="00BC4CFA">
              <w:rPr>
                <w:rStyle w:val="Bodytext2TimesNewRoman1"/>
                <w:rFonts w:ascii="GHEA Grapalat" w:eastAsia="Sylfaen" w:hAnsi="GHEA Grapalat"/>
                <w:b/>
                <w:sz w:val="24"/>
                <w:szCs w:val="24"/>
              </w:rPr>
              <w:t xml:space="preserve">01՝ </w:t>
            </w:r>
            <w:r w:rsidR="002B6778" w:rsidRPr="00BC4CFA">
              <w:rPr>
                <w:rStyle w:val="Bodytext2TimesNewRoman1"/>
                <w:rFonts w:ascii="GHEA Grapalat" w:eastAsia="Sylfaen" w:hAnsi="GHEA Grapalat"/>
                <w:b/>
                <w:sz w:val="24"/>
                <w:szCs w:val="24"/>
              </w:rPr>
              <w:t>ԱՏԳ-ի մասնակից</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Այն փոխադրողի մասին տեղեկությունների առկայություն, որի առնչությամբ ստացվել է մաքսային հսկողության տակ գտնվող ապրանքները չառաքելու մասին հաղորդագրություն</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տրանսպորտային միջոցի վարումը վարորդի կողմից, ո</w:t>
            </w:r>
            <w:r w:rsidR="00FD0928" w:rsidRPr="00BC4CFA">
              <w:rPr>
                <w:rStyle w:val="Bodytext2TimesNewRoman1"/>
                <w:rFonts w:ascii="GHEA Grapalat" w:eastAsia="Sylfaen" w:hAnsi="GHEA Grapalat"/>
                <w:sz w:val="24"/>
                <w:szCs w:val="24"/>
              </w:rPr>
              <w:t>րն</w:t>
            </w:r>
            <w:r w:rsidRPr="00BC4CFA">
              <w:rPr>
                <w:rStyle w:val="Bodytext2TimesNewRoman1"/>
                <w:rFonts w:ascii="GHEA Grapalat" w:eastAsia="Sylfaen" w:hAnsi="GHEA Grapalat"/>
                <w:sz w:val="24"/>
                <w:szCs w:val="24"/>
              </w:rPr>
              <w:t xml:space="preserve"> իրականացնում է մաքսային հսկողության տակ գտնվող ապրանքների տեղափոխում, որոնց առնչությամբ նշանակման վայրի մաքսատնից ստացվել է մաքսային հսկողության տակ գտնվող ապրանքները չառաքելու մասին հաղորդագրություն</w:t>
            </w:r>
          </w:p>
        </w:tc>
      </w:tr>
      <w:tr w:rsidR="00203B27" w:rsidRPr="00BC4CFA" w:rsidTr="00293E5A">
        <w:trPr>
          <w:trHeight w:val="985"/>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փոխադրումը ստացողին, ո</w:t>
            </w:r>
            <w:r w:rsidR="00FD0928" w:rsidRPr="00BC4CFA">
              <w:rPr>
                <w:rStyle w:val="Bodytext2TimesNewRoman1"/>
                <w:rFonts w:ascii="GHEA Grapalat" w:eastAsia="Sylfaen" w:hAnsi="GHEA Grapalat"/>
                <w:sz w:val="24"/>
                <w:szCs w:val="24"/>
              </w:rPr>
              <w:t>րի</w:t>
            </w:r>
            <w:r w:rsidRPr="00BC4CFA">
              <w:rPr>
                <w:rStyle w:val="Bodytext2TimesNewRoman1"/>
                <w:rFonts w:ascii="GHEA Grapalat" w:eastAsia="Sylfaen" w:hAnsi="GHEA Grapalat"/>
                <w:sz w:val="24"/>
                <w:szCs w:val="24"/>
              </w:rPr>
              <w:t xml:space="preserve"> հասցեին նախկինում ուղարկվել են «Մաքսային տարանցում» մաքսային ընթացակարգով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ակերպված ապրանքներ,</w:t>
            </w:r>
            <w:r w:rsidR="00816045" w:rsidRPr="00BC4CFA">
              <w:rPr>
                <w:rStyle w:val="Bodytext2TimesNewRoman1"/>
                <w:rFonts w:ascii="GHEA Grapalat" w:eastAsia="Sylfaen" w:hAnsi="GHEA Grapalat"/>
                <w:sz w:val="24"/>
                <w:szCs w:val="24"/>
              </w:rPr>
              <w:t xml:space="preserve">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որոնց առնչությամբ նշանակման վայրի մաքսատան կողմից ուղարկվել է դրանք չառաքելու մասին հաղորդագրություն</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Ապրանքները «Մաքսային տարանցում» մաքսային ընթացակարգով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ակերպելու նպատակով անձի կողմից նախկինում օգտագործվել է ՄՃՓ գրքույկ, որը համարվում էր գողացված (կորած) կամ այն օրվանից ուշ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ակերպված, որով սույն ՄՃՓ գրքույկը կարող է ներկայացվել ուղարկող մաքսային մարմին </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Անձի կողմից «Մաքսային տարանցում» մաքսային ընթացակարգով այն ապրանքները Մաքսային միության անդամ պետությունների տարածքով երրորդ երկրներ տեղափոխելու փաստերի հայտնաբերումը, որոնք ունեն Մաքսային միության անդամ պետություններում ներքին սպառման համար նախատեսված ապրանքների հատկանիշներ (ապրանքի վրա Մաքսային միության անդամ պետությունների սերտիֆիկացման նշանների, արտադրատեսակների անձնագրերի, Մաքսային միության անդամ պետությունների պետական լեզուներով պիտակների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մակնշման առկայությունը)</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6</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Առկա են ապրանքների հայտարարագրման ֆիզիկական ծավալները ԱՏԳ-ի մեկ սուբյեկտից, որի նկատմամբ նախկինում անցկացվել է մաքսային հսկողություն, ինչի կապակցությամբ այն դադարեցրել է իր գործունեությունը (այդ թվում՝ իր նկատմամաբ ստուգիչ միջոցառումների անցկացման արդյունքում) ԱՏԳ-ի մեկ ուրիշ սուբյեկտին վերաբաշխելու հատկանիշներ</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Անձը նախկինում ենթարկվել է վարչական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քրեական պատասխանատվության Մաքսային միության մաքսային օրենսդրության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Մաքսային միության անդամ պետությունների օրենսդրության խախտման առնչությամբ</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մասնակցի՝ մաքսային հսկողության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ռիսկերի նվազեցման </w:t>
            </w:r>
            <w:r w:rsidR="00F714B7">
              <w:rPr>
                <w:rStyle w:val="Bodytext2TimesNewRoman1"/>
                <w:rFonts w:ascii="GHEA Grapalat" w:eastAsia="Sylfaen" w:hAnsi="GHEA Grapalat"/>
                <w:sz w:val="24"/>
                <w:szCs w:val="24"/>
              </w:rPr>
              <w:t>և</w:t>
            </w:r>
            <w:r w:rsidR="00A3750F" w:rsidRPr="00BC4CFA">
              <w:rPr>
                <w:rStyle w:val="Bodytext2TimesNewRoman1"/>
                <w:rFonts w:ascii="GHEA Grapalat" w:eastAsia="Sylfaen" w:hAnsi="GHEA Grapalat"/>
                <w:sz w:val="24"/>
                <w:szCs w:val="24"/>
              </w:rPr>
              <w:t xml:space="preserve"> </w:t>
            </w:r>
            <w:r w:rsidRPr="00BC4CFA">
              <w:rPr>
                <w:rStyle w:val="Bodytext2TimesNewRoman1"/>
                <w:rFonts w:ascii="GHEA Grapalat" w:eastAsia="Sylfaen" w:hAnsi="GHEA Grapalat"/>
                <w:sz w:val="24"/>
                <w:szCs w:val="24"/>
              </w:rPr>
              <w:t>այլ, այդ թվում՝ ռիսկերի պրոֆիլներով նախատեսված միջոցառումները կիրառելուց խուսափելը</w:t>
            </w:r>
            <w:r w:rsidR="00A3750F" w:rsidRPr="00BC4CFA">
              <w:rPr>
                <w:rStyle w:val="Bodytext2TimesNewRoman1"/>
                <w:rFonts w:ascii="GHEA Grapalat" w:eastAsia="Sylfaen" w:hAnsi="GHEA Grapalat"/>
                <w:sz w:val="24"/>
                <w:szCs w:val="24"/>
              </w:rPr>
              <w:t>՝</w:t>
            </w:r>
            <w:r w:rsidRPr="00BC4CFA">
              <w:rPr>
                <w:rStyle w:val="Bodytext2TimesNewRoman1"/>
                <w:rFonts w:ascii="GHEA Grapalat" w:eastAsia="Sylfaen" w:hAnsi="GHEA Grapalat"/>
                <w:sz w:val="24"/>
                <w:szCs w:val="24"/>
              </w:rPr>
              <w:t xml:space="preserve"> ապրանքների հայտարարագիրը (ԱՀ) </w:t>
            </w:r>
            <w:r w:rsidR="00A3750F" w:rsidRPr="00BC4CFA">
              <w:rPr>
                <w:rStyle w:val="Bodytext2TimesNewRoman1"/>
                <w:rFonts w:ascii="GHEA Grapalat" w:eastAsia="Sylfaen" w:hAnsi="GHEA Grapalat"/>
                <w:sz w:val="24"/>
                <w:szCs w:val="24"/>
              </w:rPr>
              <w:t>հետ կանչելու</w:t>
            </w:r>
            <w:r w:rsidRPr="00BC4CFA">
              <w:rPr>
                <w:rStyle w:val="Bodytext2TimesNewRoman1"/>
                <w:rFonts w:ascii="GHEA Grapalat" w:eastAsia="Sylfaen" w:hAnsi="GHEA Grapalat"/>
                <w:sz w:val="24"/>
                <w:szCs w:val="24"/>
              </w:rPr>
              <w:t>, ապա ապրանքների այդ նույն խմբաքանակի համար ԱՀ ներկայացնելու եղանակով</w:t>
            </w:r>
            <w:r w:rsidR="0071098B" w:rsidRPr="00BC4CFA">
              <w:rPr>
                <w:rStyle w:val="Bodytext2TimesNewRoman1"/>
                <w:rFonts w:ascii="GHEA Grapalat" w:eastAsia="Sylfaen" w:hAnsi="GHEA Grapalat"/>
                <w:sz w:val="24"/>
                <w:szCs w:val="24"/>
              </w:rPr>
              <w:t xml:space="preserve"> </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Առկա են ապրանքների հայտարարագրման ծավալների փոփոխման հատկանիշներ մաքսային հսկողության ուժեղացման </w:t>
            </w:r>
            <w:r w:rsidR="00CE0A2A" w:rsidRPr="00BC4CFA">
              <w:rPr>
                <w:rStyle w:val="Bodytext2TimesNewRoman1"/>
                <w:rFonts w:ascii="GHEA Grapalat" w:eastAsia="Sylfaen" w:hAnsi="GHEA Grapalat"/>
                <w:sz w:val="24"/>
                <w:szCs w:val="24"/>
              </w:rPr>
              <w:t xml:space="preserve">(ՎԻ-ի վերաբերյալ գործի հարուցման, ՄԱՃ-ի անցկացման </w:t>
            </w:r>
            <w:r w:rsidR="00F714B7">
              <w:rPr>
                <w:rStyle w:val="Bodytext2TimesNewRoman1"/>
                <w:rFonts w:ascii="GHEA Grapalat" w:eastAsia="Sylfaen" w:hAnsi="GHEA Grapalat"/>
                <w:sz w:val="24"/>
                <w:szCs w:val="24"/>
              </w:rPr>
              <w:t>և</w:t>
            </w:r>
            <w:r w:rsidR="00CE0A2A" w:rsidRPr="00BC4CFA">
              <w:rPr>
                <w:rStyle w:val="Bodytext2TimesNewRoman1"/>
                <w:rFonts w:ascii="GHEA Grapalat" w:eastAsia="Sylfaen" w:hAnsi="GHEA Grapalat"/>
                <w:sz w:val="24"/>
                <w:szCs w:val="24"/>
              </w:rPr>
              <w:t xml:space="preserve"> նմ</w:t>
            </w:r>
            <w:r w:rsidR="00AE5020" w:rsidRPr="00BC4CFA">
              <w:rPr>
                <w:rStyle w:val="Bodytext2TimesNewRoman1"/>
                <w:rFonts w:ascii="GHEA Grapalat" w:eastAsia="Sylfaen" w:hAnsi="GHEA Grapalat"/>
                <w:sz w:val="24"/>
                <w:szCs w:val="24"/>
              </w:rPr>
              <w:t>.</w:t>
            </w:r>
            <w:r w:rsidR="00CE0A2A" w:rsidRPr="00BC4CFA">
              <w:rPr>
                <w:rStyle w:val="Bodytext2TimesNewRoman1"/>
                <w:rFonts w:ascii="GHEA Grapalat" w:eastAsia="Sylfaen" w:hAnsi="GHEA Grapalat"/>
                <w:sz w:val="24"/>
                <w:szCs w:val="24"/>
              </w:rPr>
              <w:t xml:space="preserve">) </w:t>
            </w:r>
            <w:r w:rsidRPr="00BC4CFA">
              <w:rPr>
                <w:rStyle w:val="Bodytext2TimesNewRoman1"/>
                <w:rFonts w:ascii="GHEA Grapalat" w:eastAsia="Sylfaen" w:hAnsi="GHEA Grapalat"/>
                <w:sz w:val="24"/>
                <w:szCs w:val="24"/>
              </w:rPr>
              <w:t>արդյունքում</w:t>
            </w:r>
            <w:r w:rsidR="00CE0A2A" w:rsidRPr="00BC4CFA">
              <w:rPr>
                <w:rStyle w:val="Bodytext2TimesNewRoman1"/>
                <w:rFonts w:ascii="GHEA Grapalat" w:eastAsia="Sylfaen" w:hAnsi="GHEA Grapalat"/>
                <w:sz w:val="24"/>
                <w:szCs w:val="24"/>
              </w:rPr>
              <w:t>՝</w:t>
            </w:r>
            <w:r w:rsidRPr="00BC4CFA">
              <w:rPr>
                <w:rStyle w:val="Bodytext2TimesNewRoman1"/>
                <w:rFonts w:ascii="GHEA Grapalat" w:eastAsia="Sylfaen" w:hAnsi="GHEA Grapalat"/>
                <w:sz w:val="24"/>
                <w:szCs w:val="24"/>
              </w:rPr>
              <w:t xml:space="preserve"> ԱՏԳ-ի մասնակցի կողմից ապրանքների հայտարարագրման տեղի փոփոխության դեպքում </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մասնակիցը դիմում է մաքսաին օրգաններ ապրանքների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միջազգային տեղափոխման տրանսպորտային միջոցների նկատմամբ մաքսային գործառնություններ (մաքսային ընթացակարգեր) իրականացնելու նպատակ</w:t>
            </w:r>
            <w:r w:rsidR="00CE0A2A" w:rsidRPr="00BC4CFA">
              <w:rPr>
                <w:rStyle w:val="Bodytext2TimesNewRoman1"/>
                <w:rFonts w:ascii="GHEA Grapalat" w:eastAsia="Sylfaen" w:hAnsi="GHEA Grapalat"/>
                <w:sz w:val="24"/>
                <w:szCs w:val="24"/>
              </w:rPr>
              <w:t>ներ</w:t>
            </w:r>
            <w:r w:rsidRPr="00BC4CFA">
              <w:rPr>
                <w:rStyle w:val="Bodytext2TimesNewRoman1"/>
                <w:rFonts w:ascii="GHEA Grapalat" w:eastAsia="Sylfaen" w:hAnsi="GHEA Grapalat"/>
                <w:sz w:val="24"/>
                <w:szCs w:val="24"/>
              </w:rPr>
              <w:t xml:space="preserve">ով առավելապես հանգստյան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տոն օրերին կամ</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մասնակցի կողմից տեղափոխվող ապրանքների նկատմամբ մաքսային մարմնի գործունեության տարածքում որոշակի ժամանակահատվածի ընթացքում չի անցկացվել մաքսային հսկողություն </w:t>
            </w:r>
          </w:p>
        </w:tc>
      </w:tr>
      <w:tr w:rsidR="00203B27"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12</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մասնակցի կողմից ապրանքի համար տեխնիկական փաստաթղթեր ներկայացնելու հրաժարումը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13</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Մաքսային վճարների կատարումն ուշացնելու հետ</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անքով մաքսային վճարների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տույժերի վճարման մասով առաջացած պարտքի, Մաքսային միության օրենսդրությունն ու Մաքսային միության անդամ պետությունների օրենսդրությունը խախտելու հետ</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անքով վարչական տուգանքների առկայությունը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14</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Կազմակերպության կանոնադրական կապիտալը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ավորվել է Մաքսային միության անդամ պետությունների օրենսդրությամբ նախատեսված նվազագույն չափերով, կամ արտաքին տնտեսական գործառնությունների ծավալը (պայմանագրերի արժեքը) զգալիորեն գերազանցում է կազմակերպության կանոնադրական կապիտալի չափը (500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ավելի անգամ)</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15</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Կազմակերպության՝ ապրանքների նկատմամբ մաքսային գործառնություններ (մաքսային ընթացակարգեր) իրականացնելիս նշված վավերապայմանները չեն համընկնում Մաքսային միության անդամ պետությունների օրենսդրությանը համապատասխան իրավաբանական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ֆիզիկական անձանց տվյալների բազաներում ներառված վավերապայմանների հետ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16</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մասնակցի գործադիր մարմինը տեղակայված չէ պետական գրանցման հասցեում</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մասնակիցը կիրառում է հարկման պարզեցված համակարգ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bottom"/>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18</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center"/>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բացթողումից հետո անցկացված մաքսային հսկողության արդյունքում հայտն</w:t>
            </w:r>
            <w:r w:rsidR="005A4122" w:rsidRPr="00BC4CFA">
              <w:rPr>
                <w:rStyle w:val="Bodytext2TimesNewRoman1"/>
                <w:rFonts w:ascii="GHEA Grapalat" w:eastAsia="Sylfaen" w:hAnsi="GHEA Grapalat"/>
                <w:sz w:val="24"/>
                <w:szCs w:val="24"/>
              </w:rPr>
              <w:t>ա</w:t>
            </w:r>
            <w:r w:rsidRPr="00BC4CFA">
              <w:rPr>
                <w:rStyle w:val="Bodytext2TimesNewRoman1"/>
                <w:rFonts w:ascii="GHEA Grapalat" w:eastAsia="Sylfaen" w:hAnsi="GHEA Grapalat"/>
                <w:sz w:val="24"/>
                <w:szCs w:val="24"/>
              </w:rPr>
              <w:t>բերված խախտումների առկայություն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Վերջին ֆինանսական տարվա ընթացքում կազմակերպությունը չի ներկայացնում հաշվետվություններ (հաշվեկշիռներ) տարածքային հարկային մարմիններ կամ ներկայացնում է հաշվետու ժամանակահատվածի համար տնտեսական գործունեության բացակայության մասին տեղեկանքներ կամ այսպես կոչված «զրոյական» հաշվետվություններ (հաշվեկշիռներ) կամ մի քանի հարկային ժամանակահատվածների ընթացքում հարկային հաշվետվության մեջ արտացոլում է վնասներ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bottom"/>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20</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Գլխավոր հաշվապահի գործառույթները վերապահված են կազմակերպության ղեկավարին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Հիմնադիրը (կազմակերպության հիմնադիրներից մեկը) ԱՏԳ իրականացնող միաժամանակ երկու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ավելի կազմակերպությունների հիմնադիր է</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22</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Ղեկավարը կամ գլխավոր հաշվապահը համատեղության կարգով համարժեք պաշտոններ է զբաղեցնում զգալի թվով կազմակերպություններում (ղեկավարի համար՝ 3-ից ավելի, գլխավոր հաշվապահի համար՝ 5-ից ավելի)</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23</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Մաքսային ներկայացուցիչների հետ պայմանագրի բացակայության դեպքում իրավաբանական անձի կազմի մեջ առկա չէ այն որոշակի խմբի հաստիքային աշխատակիցների կամ աշխատակցի հատուկ ստորաբաժանումը, ում պաշտոնեական պարտականությունների մեջ մտնում է մաքսային գործառնություններ (մաքսային ընթացակարգեր) իրականացնելը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24</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Կազմակերպության պետական գրանցման հասցեն մեծ քանակությամբ (10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ավելի) կազմակերպությունների գրանցման վայրն է (բացառությամբ գրասենյակային կենտրոնների, բիզնես-կենտրոնների)</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Կազմակերպությունը սեփականատերը չէ այն շինությունների, որտեղ տեղակայված է իր գործադիր մարմինը, ընդ որում, վարձակալման պայմանագիրը կնքված է մինչ</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1 տարի ժամկետով կամ սահմանված կարգով գրանցված վարձակալման պայմանագիրը բացակայում է</w:t>
            </w:r>
          </w:p>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lastRenderedPageBreak/>
              <w:t xml:space="preserve">Կազմակերպությունը պահեստային օգտագործվող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արտադրական շինությունների սեփականատերը չէ, ընդ որում, բացակայում է սահմանված կարգով գրանցված վարձակալման պայմանագիրը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26</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Fonts w:ascii="GHEA Grapalat" w:hAnsi="GHEA Grapalat"/>
                <w:sz w:val="24"/>
                <w:szCs w:val="24"/>
              </w:rPr>
              <w:t>Պարտադիր աուդիտին ենթակա անձանց մոտ չի անցկացվել աուդիտորական ստուգում, կամ ստուգման արդյունքների հիման վրա աուդիտորական եզրակացությունը պարունակում է անվերապահորեն դրական եզրահանգումներից տարբերվող եզրահանգումներ</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միության անդամ պետությունների օրենսդրությանը համապատասխան՝ բյուջե հարկեր վճարելու մասով պարտքի առկայություն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28</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մասնակիցը պատկանում է այն ապրանքները տեղափոխող անձանց կատեգորիային, որոնց մաքսային հսկողությունը բացթողումից հետո անհնար է պետական գրանցման վայրի բացակայության պատճառով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ԱՏԳ-ի մասնակիցը խուսափում է ապրանքների բացթողումից հետո մաքսային հսկողություն անցկացնելուց մաքսային մարմնի կողմից պահանջվող փաստաթղթերը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տվյալները չներկայացնելու (ամբողջական ծավալով չներկայացնելու) միջոցով</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29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Մաքսային միության անդամ պետությունում ԱՏԳ-ի մասնակցի կողմից արտաքին տնտեսական գործունեության իրականացման ժամկետը չի գերազանցում որոշակի ժամանակահատված</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30</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մասնակիցը առաջին անգամ է դիմում Մաքսային միության անդամ պետությունների մաքսային մարմիններ ապրանքների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միջազգային փոխադրման տրանսպորտային միջոցների առնչությամբ մաքսային գործառնություններ (մաքսային ընթացակարգեր) իրականացնելու համար</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31</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Հարկային մարմիններում կազմակերպությունը բազմիցս հաշվառումից հանելը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հաշվառման կանգնեցնելը՝ կազմակերպության գտնվելու վայրի փոփոխության հետ կապված (հարկային մարմինների միջ</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«միգրացիա»)</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մարմնում առկա են ԱՏԳ-ի մասնակցին այն ապրանքների արտահանման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ներմուծման համար անհրաժեշտ թույլատրման փաստաթղթեր ստանալը մերժելու մասին տեղեկություններ, որոնց վրա արգելքներ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 են տարածվում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այն մասնակիցը, որի առնչությամբ առկա են հնարավոր հակաիրավական այն արարքների վերաբերյալ տեղեկություններ, որոնք ուղղված են խախտելու համար արգելքներն ու սահմանափակումները, ինչպես նա</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մտավոր սեփականության իրավունքը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մասնակիցը չի ներկայացնում ապրանքի նշանակության, կիրառման ոլորտի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դրա տեխնիկական բնութագրերի մասին տեղեկություններ</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35</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ԱՏԳ-ի մասնակիցները, որոնց առնչությամբ առկա են ապրանքների մաքսային հայտարարագրերը հետ կանչելու մասին տեղեկություններ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36</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Ապրանքները տեղափոխող ԱՏԳ-ի մասնակիցները թույլատրման փաստաթղթերի բնօրինակները ունեցողները (ստացողները) չեն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37</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մասնակիցներ, որոնք տեղափոխում են ապրանքներ առանց արտադրողի հետ նրա անունից սահմանափակումների պահպանման, ինչպես նա</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տվյալ սահմանափակումները պահպանելու պատասխանատվության հետ կապված գործունեություն իրականացնելու մասին պայմանագիր ունենալու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38</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մասնակիցները՝ սահմանափակումները պահպանելու հավաստման ենթակա ապրանքներ ներմուծողները, որոնք մաքսային գործառնություններ (մաքսային ընթացակարգեր) են իրականացնում սույն ապրանքների առնչությամբ՝ պետական գրանցման վայրից տարբեր շրջաններում</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39</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մասնակիցը մաքսային գործառնություններ (մաքսային ընթացակարգեր) իրականացնելու նպատակներով նախկինում ներկայացրել է անվավեր կամ կեղծ թույլատրման փաստաթղթեր</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40</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մասնակցի կողմից լիազորված բանկ որպես հաստատող փաստաթուղթ այն ԱՀ-ի պատճենը ներկայացնելու մասին տեղեկությունների առկայությունը, որի մասին տեղեկությունները բացակայում են Մաքսային միության անդամ պետությունների մաքսային ծառայությունների տվյալների բազայում</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ԱՏԳ-ի մասնակիցը ապրանքային նշաններով մակնշված, մտավոր սեփականության օբյեկտների մաքսային ռե</w:t>
            </w:r>
            <w:r w:rsidR="005A4122" w:rsidRPr="00BC4CFA">
              <w:rPr>
                <w:rStyle w:val="Bodytext2TimesNewRoman1"/>
                <w:rFonts w:ascii="GHEA Grapalat" w:eastAsia="Sylfaen" w:hAnsi="GHEA Grapalat"/>
                <w:sz w:val="24"/>
                <w:szCs w:val="24"/>
              </w:rPr>
              <w:t>ե</w:t>
            </w:r>
            <w:r w:rsidRPr="00BC4CFA">
              <w:rPr>
                <w:rStyle w:val="Bodytext2TimesNewRoman1"/>
                <w:rFonts w:ascii="GHEA Grapalat" w:eastAsia="Sylfaen" w:hAnsi="GHEA Grapalat"/>
                <w:sz w:val="24"/>
                <w:szCs w:val="24"/>
              </w:rPr>
              <w:t>ստրի մեջ ներառված ապրանքները ներմուծող լիցենզավորված անձ կամ լիազորված իրավատեր չէ</w:t>
            </w:r>
          </w:p>
        </w:tc>
      </w:tr>
      <w:tr w:rsidR="00624BB3"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02՝ Փաստաթուղթ</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Տրանսպորտային բեռնագրում ուղարկողի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փոխադրողի դրոշմակնիքների (կնիքների) օրիգինալ դրոշմվածքների բացակայություն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Տրանսպորտային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տրային փաստաթղթերում ուղարկողի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/կամ փոխադրողի կողմից չհաստատված ջնջումների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ուղղումների առկայություն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նպատակներով ներկայացված փաստաթղթերում ներառված են թերի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հակասական տվյալներ, ինչպես նա</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իրենց հավաստիության վերաբերյալ կասկած հարուցող տվյալներ</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45</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Տրանսպորտային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ապրանքներն ուղեկցող փաստաթղթերում բացակայում են Մաքսային միության մաքսային սահմանի անցակետերում տեղակայված մաքսային մարմինների պաշտոնատար անձանց դրոշմակնիքների ու կնիքների օրիգինալ դրոշմվածքները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/կամ նշումներն ու ստորագրությունները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46</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հետ ժամանած ապրանքաուղեկից կամ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տրային փաստաթղթերում փոփոխություններ կատարելը կամ փաստաթղթերի փոխարինումը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47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ԱՀ ներկայացնող անձի լիազորությունները հաստատող անվավեր կամ կեղծ փաստաթղթեր ներկայացնելը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48</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տրային փաստաթղթերում առկա ստորագրությունները տարբեր են մի</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նույն անձանց՝ այլ փաստաթղթերում առկա ստորագրություններից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49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տրային փաստաթղթերը (ինվոյսները, հաշիվ-ապրանքագրերը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նմ.) ստորագրված են ապրանքի վաճառող չհանդիսացող անձի կողմից</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50</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Ապրանքաուղեկից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ապրանքատրանսպորտային փաստաթղթերում ապրանքների կոնկրետ </w:t>
            </w:r>
            <w:r w:rsidR="005A4122" w:rsidRPr="00BC4CFA">
              <w:rPr>
                <w:rStyle w:val="Bodytext2TimesNewRoman1"/>
                <w:rFonts w:ascii="GHEA Grapalat" w:eastAsia="Sylfaen" w:hAnsi="GHEA Grapalat"/>
                <w:sz w:val="24"/>
                <w:szCs w:val="24"/>
              </w:rPr>
              <w:t>նկարագ</w:t>
            </w:r>
            <w:r w:rsidRPr="00BC4CFA">
              <w:rPr>
                <w:rStyle w:val="Bodytext2TimesNewRoman1"/>
                <w:rFonts w:ascii="GHEA Grapalat" w:eastAsia="Sylfaen" w:hAnsi="GHEA Grapalat"/>
                <w:sz w:val="24"/>
                <w:szCs w:val="24"/>
              </w:rPr>
              <w:t>րության բացակայություն կամ ապրանքների ոչ միանշանակ նկարագրության առկայություն</w:t>
            </w:r>
          </w:p>
        </w:tc>
      </w:tr>
      <w:tr w:rsidR="00624BB3"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jc w:val="center"/>
              <w:rPr>
                <w:rStyle w:val="Bodytext2TimesNewRoman1"/>
                <w:rFonts w:ascii="GHEA Grapalat" w:eastAsia="Sylfaen" w:hAnsi="GHEA Grapalat"/>
                <w:sz w:val="24"/>
                <w:szCs w:val="24"/>
              </w:rPr>
            </w:pPr>
            <w:r w:rsidRPr="00BC4CFA">
              <w:rPr>
                <w:rStyle w:val="Bodytext2TimesNewRoman1"/>
                <w:rFonts w:ascii="GHEA Grapalat" w:eastAsia="Sylfaen" w:hAnsi="GHEA Grapalat"/>
                <w:b/>
                <w:sz w:val="24"/>
                <w:szCs w:val="24"/>
              </w:rPr>
              <w:t>03՝ Միջազգային փոխադրման տրանսպորտային միջոցներն ու երթուղին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Ապրանքաուղեկից փաստաթղթերում նշված ապրանքի քաշը տարբերվում է ապրանքի քաշից, որը հաշվարկվում է ապրանքով բեռնված միջազգային փոխադրման տրանսպորտային միջոցի փաստացի քաշից միջազգային փոխադրման տրանսպորտային միջոցի տեխնիկական փաստաթղթերում նշված քաշը հանելու եղանակով</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Ապրանքաուղեկից փաստաթղթերում նշված՝ ապրանքի քաշը տարբերվում է այդ նույն տրանսպորտային միջոցով իրականացված նախորդ մատակարարումների ապրանքաուղեկից փաստաթղթերում նշված՝ ապրանքների քաշից</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տրանսպորտային միջոցի բեռնային բաժանմունքի ամբողջականության վնասված լինելը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Բեռնային բաժանմունքների վրա կապարակնիքների բացակայություն կամ դրանց խախտված լինելը կամ մակնշման՝ փոխադրողի (բեռնառաքողի) կողմից ներկայացված փաստաթղթերում նշված մակնշումից տարբեր լինելը</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55</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երթուղին տնտեսապես նպատակահարմար չէ</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56</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տրանսպորտային միջոցի բեռնումը տրան</w:t>
            </w:r>
            <w:r w:rsidR="000D676F" w:rsidRPr="00BC4CFA">
              <w:rPr>
                <w:rStyle w:val="Bodytext2TimesNewRoman1"/>
                <w:rFonts w:ascii="GHEA Grapalat" w:eastAsia="Sylfaen" w:hAnsi="GHEA Grapalat"/>
                <w:sz w:val="24"/>
                <w:szCs w:val="24"/>
              </w:rPr>
              <w:t>ս</w:t>
            </w:r>
            <w:r w:rsidRPr="00BC4CFA">
              <w:rPr>
                <w:rStyle w:val="Bodytext2TimesNewRoman1"/>
                <w:rFonts w:ascii="GHEA Grapalat" w:eastAsia="Sylfaen" w:hAnsi="GHEA Grapalat"/>
                <w:sz w:val="24"/>
                <w:szCs w:val="24"/>
              </w:rPr>
              <w:t xml:space="preserve">պորտային միջոցի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բեռնարկղի բեռնատար հատվածամասի ծավալի 50%-ից պակաս տեղափոխվող ապրանքներով</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57</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տրանսպորտային միջոցի բեռնման ժամանակ վարորդի ներկա չգտնվելու մասին СМR-ում նշումի առկայություն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58</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Մաքսային միության մաքսային սահմանով ապրանքների տեղափոխում փոխադրման պայմանագրով որոշված տրանսպորտային միջոցի տեսակից տարբերվող տրանսպորտային միջոցով (օրինակ՝ ապրանքը տեղափոխվում է ավիափոխադրման մասին պայմանագրի շրջանակներում, սակայն փաստացի ժամանում է Մաքսային միության անդամ պետության տարածք ավտոտրանսպորտային միջոցով)</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59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տրանսպորտային միջոցում առկա են քողարկված լրացուցիչ հատվածամասեր, որոնք նախատեսված չեն միջազգային փոխադրման տրանսպորտային միջոցի արտադրողի կողմից</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60</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Ապրանքի փոխաբեռնում տրանսպորտային միջոցի մեկ տեսակից մեկ այլ տեսակի վրա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դրա տեղափոխում Մաքսային միության մաքսային սահմանով երրորդ երկրներ ոչ շահավետ </w:t>
            </w:r>
            <w:r w:rsidR="000D676F" w:rsidRPr="00BC4CFA">
              <w:rPr>
                <w:rStyle w:val="Bodytext2TimesNewRoman1"/>
                <w:rFonts w:ascii="GHEA Grapalat" w:eastAsia="Sylfaen" w:hAnsi="GHEA Grapalat"/>
                <w:sz w:val="24"/>
                <w:szCs w:val="24"/>
              </w:rPr>
              <w:t>պայմ</w:t>
            </w:r>
            <w:r w:rsidRPr="00BC4CFA">
              <w:rPr>
                <w:rStyle w:val="Bodytext2TimesNewRoman1"/>
                <w:rFonts w:ascii="GHEA Grapalat" w:eastAsia="Sylfaen" w:hAnsi="GHEA Grapalat"/>
                <w:sz w:val="24"/>
                <w:szCs w:val="24"/>
              </w:rPr>
              <w:t>աններով («կեղծ տարանցման» ռիսկ)</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61</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Արտահանման մաքսատուրքին ենթակա ապրանքների արտահանում մի երկիր, որն ունի այդ մաքսատուրքի վճարման գծով առանձնաշնորհումներ («կեղծ արտահանման» ռիսկ)</w:t>
            </w:r>
          </w:p>
        </w:tc>
      </w:tr>
      <w:tr w:rsidR="00624BB3"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04՝ Ապրանքային խմբաքանակ</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Ապրաքների հայտարարագրման համար ներկայացում մաքսային մարմին, որը տարբեր է ուղարկող մաքսային մարմնի կողմից նշված նշանակման մաքսային մարմնից</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Ապրանքների հայտարարագրումն </w:t>
            </w:r>
            <w:commentRangeStart w:id="1"/>
            <w:r w:rsidRPr="00A67797">
              <w:rPr>
                <w:rStyle w:val="Bodytext2TimesNewRoman1"/>
                <w:rFonts w:ascii="GHEA Grapalat" w:eastAsia="Sylfaen" w:hAnsi="GHEA Grapalat"/>
                <w:sz w:val="24"/>
                <w:szCs w:val="24"/>
              </w:rPr>
              <w:t xml:space="preserve">իրականացվում </w:t>
            </w:r>
            <w:commentRangeEnd w:id="1"/>
            <w:r w:rsidR="00594512">
              <w:rPr>
                <w:rStyle w:val="CommentReference"/>
              </w:rPr>
              <w:commentReference w:id="1"/>
            </w:r>
            <w:r w:rsidRPr="00A67797">
              <w:rPr>
                <w:rStyle w:val="Bodytext2TimesNewRoman1"/>
                <w:rFonts w:ascii="GHEA Grapalat" w:eastAsia="Sylfaen" w:hAnsi="GHEA Grapalat"/>
                <w:sz w:val="24"/>
                <w:szCs w:val="24"/>
              </w:rPr>
              <w:t>է մաքսային</w:t>
            </w:r>
            <w:r w:rsidRPr="00BC4CFA">
              <w:rPr>
                <w:rStyle w:val="Bodytext2TimesNewRoman1"/>
                <w:rFonts w:ascii="GHEA Grapalat" w:eastAsia="Sylfaen" w:hAnsi="GHEA Grapalat"/>
                <w:sz w:val="24"/>
                <w:szCs w:val="24"/>
              </w:rPr>
              <w:t xml:space="preserve"> մարմնին, որը տարբեր է մաքսային տարանցման մաքսային ընթացակարգը եզրափակած մաքսային մարմնից </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Միջազգային փոխադրման նույն տրանսպորտային միջոցում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/կամ նույն խմբաքանակում միաժամանակ տեղափոխվում են ապրանքներ, որոնցից որոշները պատկանում է ռիսկ պարունակող ապրանքներին, մյուսները՝ քողարկող ապրանքներին</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Միջազգային փոխադրման նույն տրանսպորտային միջոցում միաժամանակ տեղափոխվում են ապրանքներ, որոնք տարբեր պահանջներ են ներկայացնում տեղափոխման պայմաններին (օրինակ՝ ջերմաստիճանային ռեժիմը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նմ.)</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66</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նույն տրանսպորտային միջոցով արտահանվում են մի քանի ապրանքային խմբաքանակներ, որոնք հայտարարագրված են մի քանի ԱՀ-ներով, ընդ որում, դրանցից մեկի նկատմամբ սահմանված են արտահանման մաքսատուրքեր</w:t>
            </w:r>
          </w:p>
        </w:tc>
      </w:tr>
      <w:tr w:rsidR="00624BB3"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BB3" w:rsidRPr="00BC4CFA" w:rsidRDefault="00624BB3"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05՝ Գործարք</w:t>
            </w:r>
          </w:p>
        </w:tc>
      </w:tr>
      <w:tr w:rsidR="00624BB3"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624BB3" w:rsidRPr="00BC4CFA" w:rsidRDefault="00624BB3"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624BB3" w:rsidRPr="00BC4CFA" w:rsidRDefault="00624BB3"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Փոխադրողի նախաձեռնությամբ ապրանքը ստացողի վավերապայմանների փոփոխություն ապրանքների՝ Մաքսային միության անդամ պետության տարածք ժամանելուց հետո</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68</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Արտաքին տնտեսական պայմանագրի </w:t>
            </w:r>
            <w:r w:rsidR="0025650E" w:rsidRPr="00BC4CFA">
              <w:rPr>
                <w:rStyle w:val="Bodytext2TimesNewRoman1"/>
                <w:rFonts w:ascii="GHEA Grapalat" w:eastAsia="Sylfaen" w:hAnsi="GHEA Grapalat"/>
                <w:sz w:val="24"/>
                <w:szCs w:val="24"/>
              </w:rPr>
              <w:t xml:space="preserve">մասով </w:t>
            </w:r>
            <w:r w:rsidRPr="00BC4CFA">
              <w:rPr>
                <w:rStyle w:val="Bodytext2TimesNewRoman1"/>
                <w:rFonts w:ascii="GHEA Grapalat" w:eastAsia="Sylfaen" w:hAnsi="GHEA Grapalat"/>
                <w:sz w:val="24"/>
                <w:szCs w:val="24"/>
              </w:rPr>
              <w:t>վճարումներ</w:t>
            </w:r>
            <w:r w:rsidR="0025650E" w:rsidRPr="00BC4CFA">
              <w:rPr>
                <w:rStyle w:val="Bodytext2TimesNewRoman1"/>
                <w:rFonts w:ascii="GHEA Grapalat" w:eastAsia="Sylfaen" w:hAnsi="GHEA Grapalat"/>
                <w:sz w:val="24"/>
                <w:szCs w:val="24"/>
              </w:rPr>
              <w:t>ն</w:t>
            </w:r>
            <w:r w:rsidRPr="00BC4CFA">
              <w:rPr>
                <w:rStyle w:val="Bodytext2TimesNewRoman1"/>
                <w:rFonts w:ascii="GHEA Grapalat" w:eastAsia="Sylfaen" w:hAnsi="GHEA Grapalat"/>
                <w:sz w:val="24"/>
                <w:szCs w:val="24"/>
              </w:rPr>
              <w:t xml:space="preserve"> իրականա</w:t>
            </w:r>
            <w:r w:rsidR="0025650E" w:rsidRPr="00BC4CFA">
              <w:rPr>
                <w:rStyle w:val="Bodytext2TimesNewRoman1"/>
                <w:rFonts w:ascii="GHEA Grapalat" w:eastAsia="Sylfaen" w:hAnsi="GHEA Grapalat"/>
                <w:sz w:val="24"/>
                <w:szCs w:val="24"/>
              </w:rPr>
              <w:t>ցվ</w:t>
            </w:r>
            <w:r w:rsidRPr="00BC4CFA">
              <w:rPr>
                <w:rStyle w:val="Bodytext2TimesNewRoman1"/>
                <w:rFonts w:ascii="GHEA Grapalat" w:eastAsia="Sylfaen" w:hAnsi="GHEA Grapalat"/>
                <w:sz w:val="24"/>
                <w:szCs w:val="24"/>
              </w:rPr>
              <w:t>ում են օֆշորային գոտիներում գտնվող բանկերի միջոցով</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69</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Արտաքին տնտեսական գործարքի կողմերից մեկը գրանցված է օֆշորային գոտում, կամ գործար</w:t>
            </w:r>
            <w:r w:rsidR="0025650E" w:rsidRPr="00BC4CFA">
              <w:rPr>
                <w:rStyle w:val="Bodytext2TimesNewRoman1"/>
                <w:rFonts w:ascii="GHEA Grapalat" w:eastAsia="Sylfaen" w:hAnsi="GHEA Grapalat"/>
                <w:sz w:val="24"/>
                <w:szCs w:val="24"/>
              </w:rPr>
              <w:t>ք</w:t>
            </w:r>
            <w:r w:rsidRPr="00BC4CFA">
              <w:rPr>
                <w:rStyle w:val="Bodytext2TimesNewRoman1"/>
                <w:rFonts w:ascii="GHEA Grapalat" w:eastAsia="Sylfaen" w:hAnsi="GHEA Grapalat"/>
                <w:sz w:val="24"/>
                <w:szCs w:val="24"/>
              </w:rPr>
              <w:t>ն իրականա</w:t>
            </w:r>
            <w:r w:rsidR="0025650E" w:rsidRPr="00BC4CFA">
              <w:rPr>
                <w:rStyle w:val="Bodytext2TimesNewRoman1"/>
                <w:rFonts w:ascii="GHEA Grapalat" w:eastAsia="Sylfaen" w:hAnsi="GHEA Grapalat"/>
                <w:sz w:val="24"/>
                <w:szCs w:val="24"/>
              </w:rPr>
              <w:t>ցվ</w:t>
            </w:r>
            <w:r w:rsidRPr="00BC4CFA">
              <w:rPr>
                <w:rStyle w:val="Bodytext2TimesNewRoman1"/>
                <w:rFonts w:ascii="GHEA Grapalat" w:eastAsia="Sylfaen" w:hAnsi="GHEA Grapalat"/>
                <w:sz w:val="24"/>
                <w:szCs w:val="24"/>
              </w:rPr>
              <w:t>ում է օֆշորային գոտու ռեզիդենտի հանձնարարությամբ</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70</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ծագման երկրի ուղարկող երկրից տարբեր լինելը, եթե ապրանքներն ուղարկվում են մերձբալթյան կամ այլ սահմանամերձ երկրներում տեղակայված պահեստներով</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71</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Արտաքին տնտեսական պայմանագրում նշված՝ ապրանքների առաքման պայմանների կամ գործարքի այլ էական պայմանների անհամապատասխանությունը ապրանք</w:t>
            </w:r>
            <w:r w:rsidR="0025650E" w:rsidRPr="00BC4CFA">
              <w:rPr>
                <w:rStyle w:val="Bodytext2TimesNewRoman1"/>
                <w:rFonts w:ascii="GHEA Grapalat" w:eastAsia="Sylfaen" w:hAnsi="GHEA Grapalat"/>
                <w:sz w:val="24"/>
                <w:szCs w:val="24"/>
              </w:rPr>
              <w:t>աուղեկից</w:t>
            </w:r>
            <w:r w:rsidRPr="00BC4CFA">
              <w:rPr>
                <w:rStyle w:val="Bodytext2TimesNewRoman1"/>
                <w:rFonts w:ascii="GHEA Grapalat" w:eastAsia="Sylfaen" w:hAnsi="GHEA Grapalat"/>
                <w:sz w:val="24"/>
                <w:szCs w:val="24"/>
              </w:rPr>
              <w:t xml:space="preserve"> փաստաթղթերում </w:t>
            </w:r>
            <w:r w:rsidRPr="00BC4CFA">
              <w:rPr>
                <w:rStyle w:val="Bodytext2TimesNewRoman1"/>
                <w:rFonts w:ascii="GHEA Grapalat" w:eastAsia="Sylfaen" w:hAnsi="GHEA Grapalat"/>
                <w:sz w:val="24"/>
                <w:szCs w:val="24"/>
              </w:rPr>
              <w:lastRenderedPageBreak/>
              <w:t xml:space="preserve">(հաշիվ-ապրանքագրերում, արտահանման հայտարարագրերում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այլն) նշված նույնանման տվյալներին </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72</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Արտաքին տնտեսական գործարքի կողմերը փոխկապակցված անձի</w:t>
            </w:r>
            <w:r w:rsidR="00AE5020" w:rsidRPr="00BC4CFA">
              <w:rPr>
                <w:rStyle w:val="Bodytext2TimesNewRoman1"/>
                <w:rFonts w:ascii="GHEA Grapalat" w:eastAsia="Sylfaen" w:hAnsi="GHEA Grapalat"/>
                <w:sz w:val="24"/>
                <w:szCs w:val="24"/>
              </w:rPr>
              <w:t>ն</w:t>
            </w:r>
            <w:r w:rsidRPr="00BC4CFA">
              <w:rPr>
                <w:rStyle w:val="Bodytext2TimesNewRoman1"/>
                <w:rFonts w:ascii="GHEA Grapalat" w:eastAsia="Sylfaen" w:hAnsi="GHEA Grapalat"/>
                <w:sz w:val="24"/>
                <w:szCs w:val="24"/>
              </w:rPr>
              <w:t>ք են</w:t>
            </w:r>
          </w:p>
        </w:tc>
      </w:tr>
      <w:tr w:rsidR="00203B27" w:rsidRPr="00BC4CFA" w:rsidTr="00293E5A">
        <w:trPr>
          <w:jc w:val="center"/>
        </w:trPr>
        <w:tc>
          <w:tcPr>
            <w:tcW w:w="9524" w:type="dxa"/>
            <w:gridSpan w:val="2"/>
            <w:tcBorders>
              <w:top w:val="single" w:sz="4" w:space="0" w:color="auto"/>
              <w:left w:val="single" w:sz="4" w:space="0" w:color="auto"/>
              <w:right w:val="single" w:sz="4" w:space="0" w:color="auto"/>
            </w:tcBorders>
            <w:shd w:val="clear" w:color="auto" w:fill="FFFFFF"/>
            <w:vAlign w:val="bottom"/>
          </w:tcPr>
          <w:p w:rsidR="00203B27" w:rsidRPr="00BC4CFA" w:rsidRDefault="0022480D" w:rsidP="0022366F">
            <w:pPr>
              <w:pStyle w:val="Bodytext20"/>
              <w:shd w:val="clear" w:color="auto" w:fill="auto"/>
              <w:spacing w:line="240" w:lineRule="auto"/>
              <w:ind w:left="60" w:right="59"/>
              <w:jc w:val="center"/>
              <w:rPr>
                <w:rFonts w:ascii="GHEA Grapalat" w:hAnsi="GHEA Grapalat"/>
                <w:b/>
                <w:sz w:val="24"/>
                <w:szCs w:val="24"/>
              </w:rPr>
            </w:pPr>
            <w:r w:rsidRPr="00BC4CFA">
              <w:rPr>
                <w:rStyle w:val="Bodytext2TimesNewRoman1"/>
                <w:rFonts w:ascii="GHEA Grapalat" w:eastAsia="Sylfaen" w:hAnsi="GHEA Grapalat"/>
                <w:b/>
                <w:sz w:val="24"/>
                <w:szCs w:val="24"/>
              </w:rPr>
              <w:t xml:space="preserve">06՝ </w:t>
            </w:r>
            <w:r w:rsidR="002B6778" w:rsidRPr="00BC4CFA">
              <w:rPr>
                <w:rStyle w:val="Bodytext2TimesNewRoman1"/>
                <w:rFonts w:ascii="GHEA Grapalat" w:eastAsia="Sylfaen" w:hAnsi="GHEA Grapalat"/>
                <w:b/>
                <w:sz w:val="24"/>
                <w:szCs w:val="24"/>
              </w:rPr>
              <w:t>Ապրանք</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73</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Տարբերություն ուղարկող մաքսային մարմնից ստացված ուղարկված ապրանքի, ԱՀ-ի կամ ՄՃՓ գրքույկի մասին էլեկտրոնային ծանուցման մեջ պարունակվող տվյալների ԱՀ–ում ներկայացված տվյալներից, եթե նշված տարբերությունները կհանգեցեն վճարման ենթակա մաքսատուրքերի, հարկերի մեծության փոքրացման կամ արգելքներ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 կիրառելուց խուսափելուն</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74</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Տեղափոխվող ապրանքների զտաքաշի ոչ բնորոշ հարաբերակցությունը համաքաշին</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75</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միավորի քաշը կամ ցանկացած քանակական բնութագիր բնորոշ չէ տվյալ ապրանքի կամ նույնական, համանման ապրանքներին, նույն դասին կամ տեսակին պատկանող ապրանքին</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76</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Այն ապրանքները, որոնք հայտագրվում են որպես ԱՊՀ մասնակից երկրներից ծագող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որոնց Մաքսային միության մաքսային տարածք ներմուծելիս տրամադրվում են սակագնային առանձնաշնորհումներ (եթե կան տեղեկություններ, որ այդ ապրանքները չեն արտադրվում կամ դրանց ծավալները գերազանցում են արտադրական հզորությունը)</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77</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Այն ապրանքները, որոնք հայտագրվում են որպես զարգացող կամ </w:t>
            </w:r>
            <w:r w:rsidR="00D11578" w:rsidRPr="00BC4CFA">
              <w:rPr>
                <w:rStyle w:val="Bodytext2TimesNewRoman1"/>
                <w:rFonts w:ascii="GHEA Grapalat" w:eastAsia="Sylfaen" w:hAnsi="GHEA Grapalat"/>
                <w:sz w:val="24"/>
                <w:szCs w:val="24"/>
              </w:rPr>
              <w:t xml:space="preserve">նվազագույն չափով </w:t>
            </w:r>
            <w:r w:rsidRPr="00BC4CFA">
              <w:rPr>
                <w:rStyle w:val="Bodytext2TimesNewRoman1"/>
                <w:rFonts w:ascii="GHEA Grapalat" w:eastAsia="Sylfaen" w:hAnsi="GHEA Grapalat"/>
                <w:sz w:val="24"/>
                <w:szCs w:val="24"/>
              </w:rPr>
              <w:t xml:space="preserve">զարգացած երկրներից ծագող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որոնք </w:t>
            </w:r>
            <w:r w:rsidR="00D11578" w:rsidRPr="00BC4CFA">
              <w:rPr>
                <w:rStyle w:val="Bodytext2TimesNewRoman1"/>
                <w:rFonts w:ascii="GHEA Grapalat" w:eastAsia="Sylfaen" w:hAnsi="GHEA Grapalat"/>
                <w:sz w:val="24"/>
                <w:szCs w:val="24"/>
              </w:rPr>
              <w:t xml:space="preserve">ներմուծելիս </w:t>
            </w:r>
            <w:r w:rsidRPr="00BC4CFA">
              <w:rPr>
                <w:rStyle w:val="Bodytext2TimesNewRoman1"/>
                <w:rFonts w:ascii="GHEA Grapalat" w:eastAsia="Sylfaen" w:hAnsi="GHEA Grapalat"/>
                <w:sz w:val="24"/>
                <w:szCs w:val="24"/>
              </w:rPr>
              <w:t>Մաքսային միության անդամ մաքսային տարածք տրամադրվում են սակագնային առանձնաշնորհումներ (եթե կան տեղեկություններ, որ այդ ապրանքները չեն արտադրվում կամ դրանց ծավալները գերազանցում են արտադրական հզորություն</w:t>
            </w:r>
            <w:r w:rsidR="00D11578" w:rsidRPr="00BC4CFA">
              <w:rPr>
                <w:rStyle w:val="Bodytext2TimesNewRoman1"/>
                <w:rFonts w:ascii="GHEA Grapalat" w:eastAsia="Sylfaen" w:hAnsi="GHEA Grapalat"/>
                <w:sz w:val="24"/>
                <w:szCs w:val="24"/>
              </w:rPr>
              <w:t>ները</w:t>
            </w:r>
            <w:r w:rsidRPr="00BC4CFA">
              <w:rPr>
                <w:rStyle w:val="Bodytext2TimesNewRoman1"/>
                <w:rFonts w:ascii="GHEA Grapalat" w:eastAsia="Sylfaen" w:hAnsi="GHEA Grapalat"/>
                <w:sz w:val="24"/>
                <w:szCs w:val="24"/>
              </w:rPr>
              <w:t>)</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78</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միության </w:t>
            </w:r>
            <w:r w:rsidR="00D11578" w:rsidRPr="00BC4CFA">
              <w:rPr>
                <w:rStyle w:val="Bodytext2TimesNewRoman1"/>
                <w:rFonts w:ascii="GHEA Grapalat" w:eastAsia="Sylfaen" w:hAnsi="GHEA Grapalat"/>
                <w:sz w:val="24"/>
                <w:szCs w:val="24"/>
              </w:rPr>
              <w:t>մաքսային</w:t>
            </w:r>
            <w:r w:rsidRPr="00BC4CFA">
              <w:rPr>
                <w:rStyle w:val="Bodytext2TimesNewRoman1"/>
                <w:rFonts w:ascii="GHEA Grapalat" w:eastAsia="Sylfaen" w:hAnsi="GHEA Grapalat"/>
                <w:sz w:val="24"/>
                <w:szCs w:val="24"/>
              </w:rPr>
              <w:t xml:space="preserve"> օրենսդրությանը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Մաքսային միության անդամ պետությունների օրենսդրությանը համապատասխան ապրանքների առնչությամբ միջազգային պայմանագրեր</w:t>
            </w:r>
            <w:r w:rsidR="00D11578" w:rsidRPr="00BC4CFA">
              <w:rPr>
                <w:rStyle w:val="Bodytext2TimesNewRoman1"/>
                <w:rFonts w:ascii="GHEA Grapalat" w:eastAsia="Sylfaen" w:hAnsi="GHEA Grapalat"/>
                <w:sz w:val="24"/>
                <w:szCs w:val="24"/>
              </w:rPr>
              <w:t>ով</w:t>
            </w:r>
            <w:r w:rsidRPr="00BC4CFA">
              <w:rPr>
                <w:rStyle w:val="Bodytext2TimesNewRoman1"/>
                <w:rFonts w:ascii="GHEA Grapalat" w:eastAsia="Sylfaen" w:hAnsi="GHEA Grapalat"/>
                <w:sz w:val="24"/>
                <w:szCs w:val="24"/>
              </w:rPr>
              <w:t xml:space="preserve"> </w:t>
            </w:r>
            <w:r w:rsidR="00D11578" w:rsidRPr="00BC4CFA">
              <w:rPr>
                <w:rStyle w:val="Bodytext2TimesNewRoman1"/>
                <w:rFonts w:ascii="GHEA Grapalat" w:eastAsia="Sylfaen" w:hAnsi="GHEA Grapalat"/>
                <w:sz w:val="24"/>
                <w:szCs w:val="24"/>
              </w:rPr>
              <w:t xml:space="preserve">մաքսատուրքերի, հարկերի վճարման մասով </w:t>
            </w:r>
            <w:r w:rsidRPr="00BC4CFA">
              <w:rPr>
                <w:rStyle w:val="Bodytext2TimesNewRoman1"/>
                <w:rFonts w:ascii="GHEA Grapalat" w:eastAsia="Sylfaen" w:hAnsi="GHEA Grapalat"/>
                <w:sz w:val="24"/>
                <w:szCs w:val="24"/>
              </w:rPr>
              <w:t xml:space="preserve">տրամադրվում են արտոնություններ </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79</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Արտաքին տնտեսական պայմանագրերին համապատասխան ներմուծված ապրանքները, որոնք տարբեր են առուվաճառքի պայմանագրերից, հայտարար</w:t>
            </w:r>
            <w:r w:rsidR="005A4122" w:rsidRPr="00BC4CFA">
              <w:rPr>
                <w:rStyle w:val="Bodytext2TimesNewRoman1"/>
                <w:rFonts w:ascii="GHEA Grapalat" w:eastAsia="Sylfaen" w:hAnsi="GHEA Grapalat"/>
                <w:sz w:val="24"/>
                <w:szCs w:val="24"/>
              </w:rPr>
              <w:t>ա</w:t>
            </w:r>
            <w:r w:rsidRPr="00BC4CFA">
              <w:rPr>
                <w:rStyle w:val="Bodytext2TimesNewRoman1"/>
                <w:rFonts w:ascii="GHEA Grapalat" w:eastAsia="Sylfaen" w:hAnsi="GHEA Grapalat"/>
                <w:sz w:val="24"/>
                <w:szCs w:val="24"/>
              </w:rPr>
              <w:t>գրում են ներքին սպառման համար</w:t>
            </w:r>
            <w:r w:rsidR="0071098B" w:rsidRPr="00BC4CFA">
              <w:rPr>
                <w:rStyle w:val="Bodytext2TimesNewRoman1"/>
                <w:rFonts w:ascii="GHEA Grapalat" w:eastAsia="Sylfaen" w:hAnsi="GHEA Grapalat"/>
                <w:sz w:val="24"/>
                <w:szCs w:val="24"/>
              </w:rPr>
              <w:t xml:space="preserve"> </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80</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w:t>
            </w:r>
            <w:r w:rsidR="00643228" w:rsidRPr="00BC4CFA">
              <w:rPr>
                <w:rStyle w:val="Bodytext2TimesNewRoman1"/>
                <w:rFonts w:ascii="GHEA Grapalat" w:eastAsia="Sylfaen" w:hAnsi="GHEA Grapalat"/>
                <w:sz w:val="24"/>
                <w:szCs w:val="24"/>
              </w:rPr>
              <w:t>ը, որոնք</w:t>
            </w:r>
            <w:r w:rsidRPr="00BC4CFA">
              <w:rPr>
                <w:rStyle w:val="Bodytext2TimesNewRoman1"/>
                <w:rFonts w:ascii="GHEA Grapalat" w:eastAsia="Sylfaen" w:hAnsi="GHEA Grapalat"/>
                <w:sz w:val="24"/>
                <w:szCs w:val="24"/>
              </w:rPr>
              <w:t xml:space="preserve"> կարող են օգտագործվել որպես քողարկման ապրանք այն ապրանքների համար, որոնց </w:t>
            </w:r>
            <w:r w:rsidR="00B95F87" w:rsidRPr="00BC4CFA">
              <w:rPr>
                <w:rStyle w:val="Bodytext2TimesNewRoman1"/>
                <w:rFonts w:ascii="GHEA Grapalat" w:eastAsia="Sylfaen" w:hAnsi="GHEA Grapalat"/>
                <w:sz w:val="24"/>
                <w:szCs w:val="24"/>
              </w:rPr>
              <w:t xml:space="preserve">նկատմամբ </w:t>
            </w:r>
            <w:r w:rsidRPr="00BC4CFA">
              <w:rPr>
                <w:rStyle w:val="Bodytext2TimesNewRoman1"/>
                <w:rFonts w:ascii="GHEA Grapalat" w:eastAsia="Sylfaen" w:hAnsi="GHEA Grapalat"/>
                <w:sz w:val="24"/>
                <w:szCs w:val="24"/>
              </w:rPr>
              <w:t>կիրառվում են հատուկ տեսակի մաքսատուրքեր</w:t>
            </w:r>
          </w:p>
        </w:tc>
      </w:tr>
      <w:tr w:rsidR="00203B27" w:rsidRPr="00BC4CFA" w:rsidTr="00293E5A">
        <w:trPr>
          <w:jc w:val="center"/>
        </w:trPr>
        <w:tc>
          <w:tcPr>
            <w:tcW w:w="1180" w:type="dxa"/>
            <w:tcBorders>
              <w:top w:val="single" w:sz="4" w:space="0" w:color="auto"/>
              <w:left w:val="single" w:sz="4" w:space="0" w:color="auto"/>
            </w:tcBorders>
            <w:shd w:val="clear" w:color="auto" w:fill="FFFFFF"/>
            <w:vAlign w:val="center"/>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81</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հայտագրված բնութագրերը, որոնք ազդում են դրանց ներմուծման ժամանակ գանձվող ակցիզների մեծության վրա</w:t>
            </w:r>
            <w:r w:rsidR="00643228" w:rsidRPr="00BC4CFA">
              <w:rPr>
                <w:rStyle w:val="Bodytext2TimesNewRoman1"/>
                <w:rFonts w:ascii="GHEA Grapalat" w:eastAsia="Sylfaen" w:hAnsi="GHEA Grapalat"/>
                <w:sz w:val="24"/>
                <w:szCs w:val="24"/>
              </w:rPr>
              <w:t>,</w:t>
            </w:r>
            <w:r w:rsidRPr="00BC4CFA">
              <w:rPr>
                <w:rStyle w:val="Bodytext2TimesNewRoman1"/>
                <w:rFonts w:ascii="GHEA Grapalat" w:eastAsia="Sylfaen" w:hAnsi="GHEA Grapalat"/>
                <w:sz w:val="24"/>
                <w:szCs w:val="24"/>
              </w:rPr>
              <w:t xml:space="preserve"> սահմանային են ակցիզների դրույքաչափերը կիրառելու համար</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82</w:t>
            </w:r>
          </w:p>
        </w:tc>
        <w:tc>
          <w:tcPr>
            <w:tcW w:w="8344" w:type="dxa"/>
            <w:tcBorders>
              <w:top w:val="single" w:sz="4" w:space="0" w:color="auto"/>
              <w:left w:val="single" w:sz="4" w:space="0" w:color="auto"/>
              <w:right w:val="single" w:sz="4" w:space="0" w:color="auto"/>
            </w:tcBorders>
            <w:shd w:val="clear" w:color="auto" w:fill="FFFFFF"/>
            <w:vAlign w:val="bottom"/>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ՄՄ ԱՏԳ ԱԱ ծածկագրերով հայտագրվող ապրանքները, որոնց վրա </w:t>
            </w:r>
            <w:r w:rsidR="00643228" w:rsidRPr="00BC4CFA">
              <w:rPr>
                <w:rStyle w:val="Bodytext2TimesNewRoman1"/>
                <w:rFonts w:ascii="GHEA Grapalat" w:eastAsia="Sylfaen" w:hAnsi="GHEA Grapalat"/>
                <w:sz w:val="24"/>
                <w:szCs w:val="24"/>
              </w:rPr>
              <w:t xml:space="preserve">չեն </w:t>
            </w:r>
            <w:r w:rsidRPr="00BC4CFA">
              <w:rPr>
                <w:rStyle w:val="Bodytext2TimesNewRoman1"/>
                <w:rFonts w:ascii="GHEA Grapalat" w:eastAsia="Sylfaen" w:hAnsi="GHEA Grapalat"/>
                <w:sz w:val="24"/>
                <w:szCs w:val="24"/>
              </w:rPr>
              <w:lastRenderedPageBreak/>
              <w:t xml:space="preserve">տարածվում են արգելքներ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 որոնք սակայն հավանականության բավարար աստիճանով (</w:t>
            </w:r>
            <w:r w:rsidR="00643228" w:rsidRPr="00BC4CFA">
              <w:rPr>
                <w:rStyle w:val="Bodytext2TimesNewRoman1"/>
                <w:rFonts w:ascii="GHEA Grapalat" w:eastAsia="Sylfaen" w:hAnsi="GHEA Grapalat"/>
                <w:sz w:val="24"/>
                <w:szCs w:val="24"/>
              </w:rPr>
              <w:t xml:space="preserve">հաշվի առնելով </w:t>
            </w:r>
            <w:r w:rsidRPr="00BC4CFA">
              <w:rPr>
                <w:rStyle w:val="Bodytext2TimesNewRoman1"/>
                <w:rFonts w:ascii="GHEA Grapalat" w:eastAsia="Sylfaen" w:hAnsi="GHEA Grapalat"/>
                <w:sz w:val="24"/>
                <w:szCs w:val="24"/>
              </w:rPr>
              <w:t>իր նշանակությ</w:t>
            </w:r>
            <w:r w:rsidR="00643228" w:rsidRPr="00BC4CFA">
              <w:rPr>
                <w:rStyle w:val="Bodytext2TimesNewRoman1"/>
                <w:rFonts w:ascii="GHEA Grapalat" w:eastAsia="Sylfaen" w:hAnsi="GHEA Grapalat"/>
                <w:sz w:val="24"/>
                <w:szCs w:val="24"/>
              </w:rPr>
              <w:t>ունը</w:t>
            </w:r>
            <w:r w:rsidRPr="00BC4CFA">
              <w:rPr>
                <w:rStyle w:val="Bodytext2TimesNewRoman1"/>
                <w:rFonts w:ascii="GHEA Grapalat" w:eastAsia="Sylfaen" w:hAnsi="GHEA Grapalat"/>
                <w:sz w:val="24"/>
                <w:szCs w:val="24"/>
              </w:rPr>
              <w:t xml:space="preserve">, բնութագրերի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արտաքին տեսքի նմանությ</w:t>
            </w:r>
            <w:r w:rsidR="00643228" w:rsidRPr="00BC4CFA">
              <w:rPr>
                <w:rStyle w:val="Bodytext2TimesNewRoman1"/>
                <w:rFonts w:ascii="GHEA Grapalat" w:eastAsia="Sylfaen" w:hAnsi="GHEA Grapalat"/>
                <w:sz w:val="24"/>
                <w:szCs w:val="24"/>
              </w:rPr>
              <w:t>ու</w:t>
            </w:r>
            <w:r w:rsidRPr="00BC4CFA">
              <w:rPr>
                <w:rStyle w:val="Bodytext2TimesNewRoman1"/>
                <w:rFonts w:ascii="GHEA Grapalat" w:eastAsia="Sylfaen" w:hAnsi="GHEA Grapalat"/>
                <w:sz w:val="24"/>
                <w:szCs w:val="24"/>
              </w:rPr>
              <w:t>ն</w:t>
            </w:r>
            <w:r w:rsidR="00643228" w:rsidRPr="00BC4CFA">
              <w:rPr>
                <w:rStyle w:val="Bodytext2TimesNewRoman1"/>
                <w:rFonts w:ascii="GHEA Grapalat" w:eastAsia="Sylfaen" w:hAnsi="GHEA Grapalat"/>
                <w:sz w:val="24"/>
                <w:szCs w:val="24"/>
              </w:rPr>
              <w:t>ը</w:t>
            </w:r>
            <w:r w:rsidRPr="00BC4CFA">
              <w:rPr>
                <w:rStyle w:val="Bodytext2TimesNewRoman1"/>
                <w:rFonts w:ascii="GHEA Grapalat" w:eastAsia="Sylfaen" w:hAnsi="GHEA Grapalat"/>
                <w:sz w:val="24"/>
                <w:szCs w:val="24"/>
              </w:rPr>
              <w:t xml:space="preserve">) կարող են հայտագրվել այն ապրանքների փոխարեն, որոնց վրա տարածվում են արգելքներ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որոնց առնչությամբ բացահայտվել են (կամ կան պոտենցիալ) ռիսկեր մաքսային օրենսդրության խախտումների</w:t>
            </w:r>
            <w:r w:rsidR="00643228" w:rsidRPr="00BC4CFA">
              <w:rPr>
                <w:rStyle w:val="Bodytext2TimesNewRoman1"/>
                <w:rFonts w:ascii="GHEA Grapalat" w:eastAsia="Sylfaen" w:hAnsi="GHEA Grapalat"/>
                <w:sz w:val="24"/>
                <w:szCs w:val="24"/>
              </w:rPr>
              <w:t xml:space="preserve"> մասով</w:t>
            </w:r>
            <w:r w:rsidRPr="00BC4CFA">
              <w:rPr>
                <w:rStyle w:val="Bodytext2TimesNewRoman1"/>
                <w:rFonts w:ascii="GHEA Grapalat" w:eastAsia="Sylfaen" w:hAnsi="GHEA Grapalat"/>
                <w:sz w:val="24"/>
                <w:szCs w:val="24"/>
              </w:rPr>
              <w:t xml:space="preserve"> (ռիսկի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քողարկման ապրանքներ </w:t>
            </w:r>
          </w:p>
        </w:tc>
      </w:tr>
      <w:tr w:rsidR="00203B27" w:rsidRPr="00BC4CFA" w:rsidTr="00293E5A">
        <w:trPr>
          <w:jc w:val="center"/>
        </w:trPr>
        <w:tc>
          <w:tcPr>
            <w:tcW w:w="1180" w:type="dxa"/>
            <w:tcBorders>
              <w:top w:val="single" w:sz="4" w:space="0" w:color="auto"/>
              <w:left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83</w:t>
            </w:r>
          </w:p>
        </w:tc>
        <w:tc>
          <w:tcPr>
            <w:tcW w:w="8344" w:type="dxa"/>
            <w:tcBorders>
              <w:top w:val="single" w:sz="4" w:space="0" w:color="auto"/>
              <w:left w:val="single" w:sz="4" w:space="0" w:color="auto"/>
              <w:right w:val="single" w:sz="4" w:space="0" w:color="auto"/>
            </w:tcBorders>
            <w:shd w:val="clear" w:color="auto" w:fill="FFFFFF"/>
          </w:tcPr>
          <w:p w:rsidR="00203B27"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Որպես օգտագործված ապրանք հայտագրվող ապրանքներ</w:t>
            </w:r>
          </w:p>
        </w:tc>
      </w:tr>
      <w:tr w:rsidR="00203B27"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203B27" w:rsidRPr="00BC4CFA" w:rsidRDefault="002B677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84</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2B677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(փաթեթվածքի) վրա առկա է ապրանքային նշանների կամ հեղինակային իրավունքների օբյեկտների պահպանության մասին նախազգուշական մակնշում (® ապրանքային նշաններ, հեղինակային իրավունքներ) ԱՀ-ում տվյալներ</w:t>
            </w:r>
            <w:r w:rsidR="006B60F5" w:rsidRPr="00BC4CFA">
              <w:rPr>
                <w:rStyle w:val="Bodytext2TimesNewRoman1"/>
                <w:rFonts w:ascii="GHEA Grapalat" w:eastAsia="Sylfaen" w:hAnsi="GHEA Grapalat"/>
                <w:sz w:val="24"/>
                <w:szCs w:val="24"/>
              </w:rPr>
              <w:t>ը</w:t>
            </w:r>
            <w:r w:rsidRPr="00BC4CFA">
              <w:rPr>
                <w:rStyle w:val="Bodytext2TimesNewRoman1"/>
                <w:rFonts w:ascii="GHEA Grapalat" w:eastAsia="Sylfaen" w:hAnsi="GHEA Grapalat"/>
                <w:sz w:val="24"/>
                <w:szCs w:val="24"/>
              </w:rPr>
              <w:t xml:space="preserve"> </w:t>
            </w:r>
            <w:r w:rsidR="006B60F5" w:rsidRPr="00BC4CFA">
              <w:rPr>
                <w:rStyle w:val="Bodytext2TimesNewRoman1"/>
                <w:rFonts w:ascii="GHEA Grapalat" w:eastAsia="Sylfaen" w:hAnsi="GHEA Grapalat"/>
                <w:sz w:val="24"/>
                <w:szCs w:val="24"/>
              </w:rPr>
              <w:t xml:space="preserve">չնշելու </w:t>
            </w:r>
            <w:r w:rsidRPr="00BC4CFA">
              <w:rPr>
                <w:rStyle w:val="Bodytext2TimesNewRoman1"/>
                <w:rFonts w:ascii="GHEA Grapalat" w:eastAsia="Sylfaen" w:hAnsi="GHEA Grapalat"/>
                <w:sz w:val="24"/>
                <w:szCs w:val="24"/>
              </w:rPr>
              <w:t>դեպքում այն մասին, որ ապրանքը պատկանում է մտավոր սեփականության օբյեկտների դասին</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ՄՄ ԱՏԳ ԱԱ դասակարգման մեկ ծածկագրի մատնանշմամբ հայտագրվող տարբեր անվանումներով ապրանքները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86</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ՄՄ ԱՏԳ ԱԱ դասակարգման մեկ ծածկագրի մատնանշմամբ հայտագրվող, քանդված վիճակում առաքվող ապրանքներ, որոնց բաղադրամասերը (մասերը) փոխադրման ժամանակ ունեն առանձին փաթեթվածք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/կամ պիտակ</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87</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Բազմաբաղադրիչ ապրանքներ կամ ապրանքներ, որոնց մասերը տարբեր նյութերից են պատրաստված, որոնք հայտագրվում են ՄՄ ԱՏԳ ԱԱ ծածկագրի մատնանշմամբ՝ բաղադրամասերից կամ մասերից մեկի անվանմանը, նյութին, գործառույթին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այլնին համապատասխան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bottom"/>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88</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 որոնց նկատմամբ սահմանված են ներմուծման մաքսատուրքերի զրոյական դրույքաչափեր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89</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Ապրանքներ, որոնց նկատմամբ մաքսային գործառնություններ իրականացնելիս հավաստի դասակարգման համար անհրաժեշտ է քիմիական կազմի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ֆիզիկական հատկությունների մասին փորձագիտական եզրակացություն</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90</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 որոնց ներմուծման ծավալները Մաքսային միության անդամ պետությունների մաքսային վիճակագրության տվյալներին համապատասխան՝ էապես քիչ են Մաքսային միության անդամ պետությունների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տրային գործընկերներ երկրների արտաքին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տրի արտահանման մասին վիճակագրության տվյալներից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Ապրանքներ, որոնք հայտագրվում են հայտարարագրողի կողմից ՄՄ ԱՏԳ ԱԱ-ի «մնացորդային» ապրանքային դիրքի «մնացորդային» ստորաենթադիրքերում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bottom"/>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 որոնք հայտագրվում են հայտարարագրողի կողմից որպես «մաս», այլ ոչ թէ «պատրաստի» արտադրատեսակ</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93</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Տեղափոխվող ապրանքների անվանացանկում հայտարարագրման կազմի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ծավալների փոփոխում </w:t>
            </w:r>
          </w:p>
        </w:tc>
      </w:tr>
      <w:tr w:rsidR="00733348"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jc w:val="center"/>
              <w:rPr>
                <w:rStyle w:val="Bodytext2TimesNewRoman1"/>
                <w:rFonts w:ascii="GHEA Grapalat" w:eastAsia="Sylfaen" w:hAnsi="GHEA Grapalat"/>
                <w:sz w:val="24"/>
                <w:szCs w:val="24"/>
              </w:rPr>
            </w:pPr>
            <w:r w:rsidRPr="00BC4CFA">
              <w:rPr>
                <w:rStyle w:val="Bodytext2TimesNewRoman1"/>
                <w:rFonts w:ascii="GHEA Grapalat" w:eastAsia="Sylfaen" w:hAnsi="GHEA Grapalat"/>
                <w:b/>
                <w:sz w:val="24"/>
                <w:szCs w:val="24"/>
              </w:rPr>
              <w:lastRenderedPageBreak/>
              <w:t>07՝ Երկիր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Երկրներ, որտեղից ապրանք ներմուծելիս արձանագրվել են հաճախակի խախտումներ կապված արգելքներն ու սահմանափակումները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մտավոր սեփականության իրավունքները չպահպանելու հետ</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Ապրանքը ուղարկող երկիրը միաժամանակ ծագման երկիր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վաճառող երկիրը չէ</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96</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Երկրներ, որոնց առնչությամբ առկա են նմանակված ապրանքների կամ առանձին ապրանքների արտադրության մասին տեղեկություններ, որոնց համար Մաքսային միության անդամ պետություններում սահմանված են արգելքներ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97</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Երկրներ, որոնց առնչությամբ հայտնի են այն արտադրատեսակները պատրաստելու նախատեսվող ծրագրեր, որոնց արտադրության համար անհրաժեշտ են Մաքսային միության մաքսային տարածքից արտահանելիս արգելքների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սահմանափակումների ազդեցության տակ ընկնող ապրանքներ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98</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Վաճառող երկիր (ուղարկող երկիր, նշանակման երկիր) է այն երկիրը, որի նկատմամբ սահմանված են միջազգային օրենսդրությամբ նշանակված պատժամիջոցներ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99</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ծագման երկիր է այն երկիրը, որտեղ ապրանքային նշանի իրավատերը արտադրություն չունի</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100</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Ապրանքների էական մասը հայտարարագրելու դեպքում վաճառող երկրներ են օֆշորային գոտիները</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Ապրանքային նշանով մակնշված ապրանքների համալրող մասերը բեռով տեղափոխում են մի երկիր, որտեղ իրավատերը չունի արտադրություն </w:t>
            </w:r>
          </w:p>
        </w:tc>
      </w:tr>
      <w:tr w:rsidR="00733348"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08</w:t>
            </w:r>
            <w:r w:rsidRPr="00BC4CFA">
              <w:rPr>
                <w:rStyle w:val="Bodytext2TimesNewRoman1"/>
                <w:rFonts w:ascii="GHEA Grapalat" w:eastAsia="Sylfaen" w:hAnsi="GHEA Grapalat"/>
                <w:b/>
                <w:sz w:val="24"/>
                <w:szCs w:val="24"/>
                <w:lang w:val="en-US"/>
              </w:rPr>
              <w:t xml:space="preserve">` </w:t>
            </w:r>
            <w:r w:rsidRPr="00BC4CFA">
              <w:rPr>
                <w:rStyle w:val="Bodytext2TimesNewRoman1"/>
                <w:rFonts w:ascii="GHEA Grapalat" w:eastAsia="Sylfaen" w:hAnsi="GHEA Grapalat"/>
                <w:b/>
                <w:sz w:val="24"/>
                <w:szCs w:val="24"/>
              </w:rPr>
              <w:t>Ապրանքի արժեքը</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Ապրանքի ապրանքագնային (պայմանագրային) արժեքը տեղեկատվական նամակներում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այլ տեղեկությունների աղբյուրներում նշվածից ցածր է</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Առկա է էական անհամապատասխանություն ներմուծվող ապրանքի գնի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նույնական, համանման ապրանքների, նույն դասին կամ տեսակին պատկանող ապրանքի գնի միջ</w:t>
            </w:r>
            <w:r w:rsidR="00F714B7">
              <w:rPr>
                <w:rStyle w:val="Bodytext2TimesNewRoman1"/>
                <w:rFonts w:ascii="GHEA Grapalat" w:eastAsia="Sylfaen" w:hAnsi="GHEA Grapalat"/>
                <w:sz w:val="24"/>
                <w:szCs w:val="24"/>
              </w:rPr>
              <w:t>և</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մաքսային արժեքի մակարդակի իջեցում ԱՏԳ-ի մի</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նույն մասնակցի կողմից մեկ այլ մաքսային մարմնում հայտարարագրված տվյալ ապրանքի արժեքի մակարդակի համեմատ</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Վճարման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տրային հաշիվներում նշված՝ մատակարարվող արտադրանքի միավորի գինը սահմանված է ոչ բնորոշող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կամ ոչ ճշգրիտ մեծություններով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106</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«Ներքին սպառման համար բացթողում» մաքսային ընթացակարգով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ակերպվող ապրանքների մաքսային արժեքի մակարդակը ցածր է «ազատ մաքսային գոտի» մաքսային ընթացակարգով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ակերպվող </w:t>
            </w:r>
            <w:r w:rsidRPr="00BC4CFA">
              <w:rPr>
                <w:rStyle w:val="Bodytext2TimesNewRoman1"/>
                <w:rFonts w:ascii="GHEA Grapalat" w:eastAsia="Sylfaen" w:hAnsi="GHEA Grapalat"/>
                <w:sz w:val="24"/>
                <w:szCs w:val="24"/>
              </w:rPr>
              <w:lastRenderedPageBreak/>
              <w:t>համանման ապրանքների մաքսային արժեքի մակարդակից</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107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Առուվաճառքի արտաքին տնտեսական պայմանագրից բացի այն ծառայությունների (շինարարություն, կառուցում, հավաքում, հավաքակցում, սպասարկում կամ տեխնիկական աջակցության ցուցաբերում) մատուցման պայմանագրի առկայություն, որոնց արժեքը համադրելի է հայտարարագրվող ապրանքների արժեքի հետ</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108</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Մաքսային արժեք ձ</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ավորելիս գործարքի գնի էական նվազեցումների կամ ներկայացված պայմաններից ուղղակիորեն չկախված նվազեցումների առկայություն</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109</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Հումքային խմբին չպատկանող պատրաստի արտադրանքի հայտագրված մաքսային արժեքը համապատասխան հումքի գներից ցածր է</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110</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Ապրանքի գինը չի օգտագործվել ապրանքների մաքսային արժեքը ներմուծվող (արտահանվող) ապրանքների գործարքի գներով որոշելու համար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bottom"/>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111</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Ապրանքի գինը հայտագրված է պայմանագրի գնի արժույթից տարբերվող արժույթով</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vAlign w:val="center"/>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112</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Փաստաթղթերում (այդ թվում՝ ապահովագրական) հայտնի ապրանքային նշաններով մակնշված ապրանքների համար ցածր արժեքների նշում </w:t>
            </w:r>
          </w:p>
        </w:tc>
      </w:tr>
      <w:tr w:rsidR="00733348"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09՝ Մաքսային վճարներ</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113</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այն վճարների գումարը, որոնք կարող են հաշվարկվել ապրանքները ազատ շրջանառության համար բաց թողնելու դեպքում, էականորեն բարձր է մաքսային վճարների ապահովության երաշխիքի մակարդակից ՄՃՓ գրքույկով մաքսային տարանցման ներկայացման ժամանակ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114</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Մաքսանին վճարները կատարվում են երրորդ անձանց կողմից (բացառությամբ մաքսային ներկայացուցիչների) կամ կանխիկ գումարով</w:t>
            </w:r>
          </w:p>
        </w:tc>
      </w:tr>
      <w:tr w:rsidR="00733348"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jc w:val="center"/>
              <w:rPr>
                <w:rFonts w:ascii="GHEA Grapalat" w:hAnsi="GHEA Grapalat"/>
                <w:sz w:val="24"/>
                <w:szCs w:val="24"/>
              </w:rPr>
            </w:pPr>
            <w:r w:rsidRPr="00BC4CFA">
              <w:rPr>
                <w:rStyle w:val="Bodytext2TimesNewRoman1"/>
                <w:rFonts w:ascii="GHEA Grapalat" w:eastAsia="Sylfaen" w:hAnsi="GHEA Grapalat"/>
                <w:b/>
                <w:sz w:val="24"/>
                <w:szCs w:val="24"/>
              </w:rPr>
              <w:t>10՝ Լիազորված պաշտոնատար անձ</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115</w:t>
            </w:r>
          </w:p>
        </w:tc>
        <w:tc>
          <w:tcPr>
            <w:tcW w:w="8344" w:type="dxa"/>
            <w:tcBorders>
              <w:top w:val="single" w:sz="4" w:space="0" w:color="auto"/>
              <w:left w:val="single" w:sz="4" w:space="0" w:color="auto"/>
              <w:bottom w:val="single" w:sz="4" w:space="0" w:color="auto"/>
              <w:right w:val="single" w:sz="4" w:space="0" w:color="auto"/>
            </w:tcBorders>
            <w:shd w:val="clear" w:color="auto" w:fill="FFFFFF"/>
            <w:vAlign w:val="bottom"/>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Ապրանքով բեռնված այն տրանսպորտային միջոցների քանակը, որոնց առնչությամբ մաքսային մարմնի լիազորված պաշտոնատար անձանց կողմից իրականացվել են մաքսային գործառնություններ, ԺՊՊ-ում գերազանցում են տվյալ ԺՊՊ-ի թողունակության մակարդակը</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116</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Ժամանակահատվածի ընթացքում ԱՏԳ-ի մի</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նույն մասնակցի ապրանքների առնչությամբ մի</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նույն մաքսային մարմնի լիազորված պաշտոնատար անձի կողմից մաքսային գործառնություններ (մաքսային ընթացակարգեր) իրականացնելիս փաստաթղթային հսկողություն անցկացնելը</w:t>
            </w:r>
          </w:p>
        </w:tc>
      </w:tr>
      <w:tr w:rsidR="00733348" w:rsidRPr="00BC4CFA" w:rsidTr="00293E5A">
        <w:trPr>
          <w:jc w:val="center"/>
        </w:trPr>
        <w:tc>
          <w:tcPr>
            <w:tcW w:w="9524" w:type="dxa"/>
            <w:gridSpan w:val="2"/>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jc w:val="center"/>
              <w:rPr>
                <w:rStyle w:val="Bodytext2TimesNewRoman1"/>
                <w:rFonts w:ascii="GHEA Grapalat" w:eastAsia="Sylfaen" w:hAnsi="GHEA Grapalat"/>
                <w:sz w:val="24"/>
                <w:szCs w:val="24"/>
              </w:rPr>
            </w:pPr>
            <w:r w:rsidRPr="00BC4CFA">
              <w:rPr>
                <w:rStyle w:val="Bodytext2TimesNewRoman3"/>
                <w:rFonts w:ascii="GHEA Grapalat" w:eastAsia="Sylfaen" w:hAnsi="GHEA Grapalat"/>
                <w:sz w:val="24"/>
                <w:szCs w:val="24"/>
              </w:rPr>
              <w:t>11՝ ՏԶՀ</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117</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Մաքսային միության օրենսդրությունը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Մաքսային միության անդամ պետությունների օրենսդրությունը խախտելու հատկանիշների բացահայտում ապրանքների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միջազգային փոխադրման </w:t>
            </w:r>
            <w:r w:rsidRPr="00BC4CFA">
              <w:rPr>
                <w:rStyle w:val="Bodytext2TimesNewRoman1"/>
                <w:rFonts w:ascii="GHEA Grapalat" w:eastAsia="Sylfaen" w:hAnsi="GHEA Grapalat"/>
                <w:sz w:val="24"/>
                <w:szCs w:val="24"/>
              </w:rPr>
              <w:lastRenderedPageBreak/>
              <w:t xml:space="preserve">տրանսպորտային միջոցների՝ տեսչական զննման համալիրների կիրառման արդյունքում (այսուհետ՝ ՏԶՀ) ստացված ռենտգենային պատկերի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ապրանքաուղեկից (առ</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տրային, տրանսպորտային, մաքսային) փաստաթղթերում պարունակվող տվյալների համադրման արդյունքներով</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lastRenderedPageBreak/>
              <w:t>118</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Միջազգային փոխադրման մի</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նույն տրանսպորտային միջոցում միաժամանակ տեղափոխվում են ապրանքներ, որոնք ենթակա են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ենթակա չեն ՏԶՀ-ի օգտագործմամբ ռենտգենային ստուգման </w:t>
            </w:r>
          </w:p>
        </w:tc>
      </w:tr>
      <w:tr w:rsidR="00733348" w:rsidRPr="00BC4CFA" w:rsidTr="00293E5A">
        <w:trPr>
          <w:jc w:val="center"/>
        </w:trPr>
        <w:tc>
          <w:tcPr>
            <w:tcW w:w="1180" w:type="dxa"/>
            <w:tcBorders>
              <w:top w:val="single" w:sz="4" w:space="0" w:color="auto"/>
              <w:left w:val="single" w:sz="4" w:space="0" w:color="auto"/>
              <w:bottom w:val="single" w:sz="4" w:space="0" w:color="auto"/>
            </w:tcBorders>
            <w:shd w:val="clear" w:color="auto" w:fill="FFFFFF"/>
          </w:tcPr>
          <w:p w:rsidR="00733348" w:rsidRPr="00BC4CFA" w:rsidRDefault="00733348" w:rsidP="0022366F">
            <w:pPr>
              <w:pStyle w:val="Bodytext20"/>
              <w:shd w:val="clear" w:color="auto" w:fill="auto"/>
              <w:spacing w:line="240" w:lineRule="auto"/>
              <w:jc w:val="center"/>
              <w:rPr>
                <w:rFonts w:ascii="GHEA Grapalat" w:hAnsi="GHEA Grapalat"/>
                <w:sz w:val="24"/>
                <w:szCs w:val="24"/>
              </w:rPr>
            </w:pPr>
            <w:r w:rsidRPr="00BC4CFA">
              <w:rPr>
                <w:rStyle w:val="Bodytext2TimesNewRoman1"/>
                <w:rFonts w:ascii="GHEA Grapalat" w:eastAsia="Sylfaen" w:hAnsi="GHEA Grapalat"/>
                <w:sz w:val="24"/>
                <w:szCs w:val="24"/>
              </w:rPr>
              <w:t>119</w:t>
            </w:r>
          </w:p>
        </w:tc>
        <w:tc>
          <w:tcPr>
            <w:tcW w:w="8344" w:type="dxa"/>
            <w:tcBorders>
              <w:top w:val="single" w:sz="4" w:space="0" w:color="auto"/>
              <w:left w:val="single" w:sz="4" w:space="0" w:color="auto"/>
              <w:bottom w:val="single" w:sz="4" w:space="0" w:color="auto"/>
              <w:right w:val="single" w:sz="4" w:space="0" w:color="auto"/>
            </w:tcBorders>
            <w:shd w:val="clear" w:color="auto" w:fill="FFFFFF"/>
          </w:tcPr>
          <w:p w:rsidR="00733348" w:rsidRPr="00BC4CFA" w:rsidRDefault="00733348" w:rsidP="0022366F">
            <w:pPr>
              <w:pStyle w:val="Bodytext20"/>
              <w:shd w:val="clear" w:color="auto" w:fill="auto"/>
              <w:spacing w:line="240" w:lineRule="auto"/>
              <w:ind w:left="60" w:right="59"/>
              <w:rPr>
                <w:rFonts w:ascii="GHEA Grapalat" w:hAnsi="GHEA Grapalat"/>
                <w:sz w:val="24"/>
                <w:szCs w:val="24"/>
              </w:rPr>
            </w:pPr>
            <w:r w:rsidRPr="00BC4CFA">
              <w:rPr>
                <w:rStyle w:val="Bodytext2TimesNewRoman1"/>
                <w:rFonts w:ascii="GHEA Grapalat" w:eastAsia="Sylfaen" w:hAnsi="GHEA Grapalat"/>
                <w:sz w:val="24"/>
                <w:szCs w:val="24"/>
              </w:rPr>
              <w:t xml:space="preserve">Տրանսպորտային միջոցով տեղափոխվում են ռենտգենյան ճառագայթների կլանման բարձր մակարդակով ապրանքներ, ինչը թույլ չի տալիս ՏԶՀ-ի պատկերի վրա նույնականացնել ապրանքները կամ հայտնաբերել թաքնված ներդրվածքներ </w:t>
            </w:r>
            <w:r w:rsidR="00F714B7">
              <w:rPr>
                <w:rStyle w:val="Bodytext2TimesNewRoman1"/>
                <w:rFonts w:ascii="GHEA Grapalat" w:eastAsia="Sylfaen" w:hAnsi="GHEA Grapalat"/>
                <w:sz w:val="24"/>
                <w:szCs w:val="24"/>
              </w:rPr>
              <w:t>և</w:t>
            </w:r>
            <w:r w:rsidRPr="00BC4CFA">
              <w:rPr>
                <w:rStyle w:val="Bodytext2TimesNewRoman1"/>
                <w:rFonts w:ascii="GHEA Grapalat" w:eastAsia="Sylfaen" w:hAnsi="GHEA Grapalat"/>
                <w:sz w:val="24"/>
                <w:szCs w:val="24"/>
              </w:rPr>
              <w:t xml:space="preserve"> խոռոչներ </w:t>
            </w:r>
          </w:p>
        </w:tc>
      </w:tr>
    </w:tbl>
    <w:p w:rsidR="00203B27" w:rsidRPr="00BC4CFA" w:rsidRDefault="00203B27" w:rsidP="00873B99">
      <w:pPr>
        <w:spacing w:after="160" w:line="360" w:lineRule="auto"/>
        <w:rPr>
          <w:rFonts w:ascii="GHEA Grapalat" w:hAnsi="GHEA Grapalat"/>
        </w:rPr>
      </w:pPr>
    </w:p>
    <w:p w:rsidR="00982DA1" w:rsidRPr="00BC4CFA" w:rsidRDefault="00982DA1" w:rsidP="00873B99">
      <w:pPr>
        <w:spacing w:after="160" w:line="360" w:lineRule="auto"/>
        <w:rPr>
          <w:rFonts w:ascii="GHEA Grapalat" w:hAnsi="GHEA Grapalat"/>
        </w:rPr>
      </w:pPr>
      <w:r w:rsidRPr="00BC4CFA">
        <w:rPr>
          <w:rFonts w:ascii="GHEA Grapalat" w:hAnsi="GHEA Grapalat"/>
        </w:rPr>
        <w:br w:type="page"/>
      </w:r>
    </w:p>
    <w:p w:rsidR="00203B27" w:rsidRPr="00BC4CFA" w:rsidRDefault="002B6778" w:rsidP="001F53B4">
      <w:pPr>
        <w:pStyle w:val="Bodytext20"/>
        <w:shd w:val="clear" w:color="auto" w:fill="auto"/>
        <w:spacing w:after="160" w:line="360" w:lineRule="auto"/>
        <w:ind w:left="3969"/>
        <w:jc w:val="center"/>
        <w:rPr>
          <w:rFonts w:ascii="GHEA Grapalat" w:hAnsi="GHEA Grapalat"/>
          <w:sz w:val="24"/>
          <w:szCs w:val="24"/>
        </w:rPr>
      </w:pPr>
      <w:r w:rsidRPr="00BC4CFA">
        <w:rPr>
          <w:rStyle w:val="Bodytext2TimesNewRoman0"/>
          <w:rFonts w:ascii="GHEA Grapalat" w:eastAsia="Sylfaen" w:hAnsi="GHEA Grapalat"/>
          <w:sz w:val="24"/>
          <w:szCs w:val="24"/>
        </w:rPr>
        <w:lastRenderedPageBreak/>
        <w:t xml:space="preserve">Հավելված </w:t>
      </w:r>
      <w:r w:rsidR="00555175" w:rsidRPr="00BC4CFA">
        <w:rPr>
          <w:rStyle w:val="Bodytext2TimesNewRoman0"/>
          <w:rFonts w:ascii="GHEA Grapalat" w:eastAsia="Sylfaen" w:hAnsi="GHEA Grapalat"/>
          <w:sz w:val="24"/>
          <w:szCs w:val="24"/>
        </w:rPr>
        <w:t xml:space="preserve">թիվ </w:t>
      </w:r>
      <w:r w:rsidRPr="00BC4CFA">
        <w:rPr>
          <w:rStyle w:val="Bodytext2TimesNewRoman0"/>
          <w:rFonts w:ascii="GHEA Grapalat" w:eastAsia="Sylfaen" w:hAnsi="GHEA Grapalat"/>
          <w:sz w:val="24"/>
          <w:szCs w:val="24"/>
        </w:rPr>
        <w:t>2</w:t>
      </w:r>
    </w:p>
    <w:p w:rsidR="00203B27" w:rsidRPr="00BC4CFA" w:rsidRDefault="002B6778" w:rsidP="001F53B4">
      <w:pPr>
        <w:pStyle w:val="Bodytext20"/>
        <w:shd w:val="clear" w:color="auto" w:fill="auto"/>
        <w:spacing w:after="160" w:line="360" w:lineRule="auto"/>
        <w:ind w:left="3969"/>
        <w:jc w:val="center"/>
        <w:rPr>
          <w:rStyle w:val="Bodytext2TimesNewRoman0"/>
          <w:rFonts w:ascii="GHEA Grapalat" w:eastAsia="Sylfaen" w:hAnsi="GHEA Grapalat"/>
          <w:sz w:val="24"/>
          <w:szCs w:val="24"/>
        </w:rPr>
      </w:pPr>
      <w:r w:rsidRPr="00BC4CFA">
        <w:rPr>
          <w:rStyle w:val="Bodytext2TimesNewRoman0"/>
          <w:rFonts w:ascii="GHEA Grapalat" w:eastAsia="Sylfaen" w:hAnsi="GHEA Grapalat"/>
          <w:sz w:val="24"/>
          <w:szCs w:val="24"/>
        </w:rPr>
        <w:t>Մաքսային միության անդամ պետությունների մաքսային ծառայությունների միավորված կոլեգիայի թիվ 8/7 որոշման</w:t>
      </w:r>
    </w:p>
    <w:p w:rsidR="00733348" w:rsidRPr="00BC4CFA" w:rsidRDefault="00733348" w:rsidP="00733348">
      <w:pPr>
        <w:pStyle w:val="Bodytext20"/>
        <w:shd w:val="clear" w:color="auto" w:fill="auto"/>
        <w:spacing w:after="160" w:line="360" w:lineRule="auto"/>
        <w:ind w:left="3969"/>
        <w:jc w:val="center"/>
        <w:rPr>
          <w:rFonts w:ascii="GHEA Grapalat" w:hAnsi="GHEA Grapalat"/>
          <w:sz w:val="24"/>
          <w:szCs w:val="24"/>
        </w:rPr>
      </w:pPr>
    </w:p>
    <w:p w:rsidR="00203B27" w:rsidRPr="00BC4CFA" w:rsidRDefault="002B6778" w:rsidP="00733348">
      <w:pPr>
        <w:pStyle w:val="Bodytext60"/>
        <w:shd w:val="clear" w:color="auto" w:fill="auto"/>
        <w:spacing w:before="0" w:after="160" w:line="360" w:lineRule="auto"/>
        <w:ind w:right="-8"/>
        <w:rPr>
          <w:rStyle w:val="Bodytext6TimesNewRoman"/>
          <w:rFonts w:ascii="GHEA Grapalat" w:eastAsia="Sylfaen" w:hAnsi="GHEA Grapalat"/>
          <w:b/>
          <w:sz w:val="24"/>
          <w:szCs w:val="24"/>
        </w:rPr>
      </w:pPr>
      <w:r w:rsidRPr="00BC4CFA">
        <w:rPr>
          <w:rStyle w:val="Bodytext6TimesNewRoman"/>
          <w:rFonts w:ascii="GHEA Grapalat" w:eastAsia="Sylfaen" w:hAnsi="GHEA Grapalat"/>
          <w:b/>
          <w:sz w:val="24"/>
          <w:szCs w:val="24"/>
        </w:rPr>
        <w:t xml:space="preserve">Ապրանքները, արտաքին տնտեսական գործառնությունները </w:t>
      </w:r>
      <w:r w:rsidR="00F714B7">
        <w:rPr>
          <w:rStyle w:val="Bodytext6TimesNewRoman"/>
          <w:rFonts w:ascii="GHEA Grapalat" w:eastAsia="Sylfaen" w:hAnsi="GHEA Grapalat"/>
          <w:b/>
          <w:sz w:val="24"/>
          <w:szCs w:val="24"/>
        </w:rPr>
        <w:t>և</w:t>
      </w:r>
      <w:r w:rsidRPr="00BC4CFA">
        <w:rPr>
          <w:rStyle w:val="Bodytext6TimesNewRoman"/>
          <w:rFonts w:ascii="GHEA Grapalat" w:eastAsia="Sylfaen" w:hAnsi="GHEA Grapalat"/>
          <w:b/>
          <w:sz w:val="24"/>
          <w:szCs w:val="24"/>
        </w:rPr>
        <w:t xml:space="preserve"> անձանց ռիսկի խմբերին դասելու տիպային չափանիշների կիրառման կարգը</w:t>
      </w:r>
    </w:p>
    <w:p w:rsidR="00203B27" w:rsidRPr="00BC4CFA" w:rsidRDefault="002B6778" w:rsidP="00733348">
      <w:pPr>
        <w:pStyle w:val="Bodytext20"/>
        <w:shd w:val="clear" w:color="auto" w:fill="auto"/>
        <w:tabs>
          <w:tab w:val="left" w:pos="993"/>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1.</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Ապրանքները, արտաքին տնտեսական գործառնությունները </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անձանց ռիսկի խմբերին դասելու տիպային չափանիշների ցանկը (այսուհետ՝ Ռիսկի չափանիշների ցանկ) ձ</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ավորվել է Մաքսային միության անդամ պետությունների մաքսային ծառայությունների կողմից ռիսկի պրոֆիլներ, ռիսկերի հայտնաբերմանն ուղղված նպատակային մեթոդիկաներ ձ</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ավորելիս միատեսակ մոտեցում ապահովելու նպատակով, ինչպես նա</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ռիսկերի կառավարման համակարգի կիրառմամբ (այսուհետ՝ ՌԿՀ) մաքսային հսկողության իրականացման արդյունավետության բարձրացման համար:</w:t>
      </w:r>
    </w:p>
    <w:p w:rsidR="00203B27" w:rsidRPr="00BC4CFA" w:rsidRDefault="002B6778" w:rsidP="00733348">
      <w:pPr>
        <w:pStyle w:val="Bodytext20"/>
        <w:shd w:val="clear" w:color="auto" w:fill="auto"/>
        <w:tabs>
          <w:tab w:val="left" w:pos="993"/>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2.</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Ապրանքները, արտաքին տնտեսական գործառնությունները </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անձանց ռիսկի խմբերին դասելու տիպային չափանիշների կիրառման կարգը մշակվել է Ռիսկի չափանիշների ցանկն օգտագործելիս Մաքսային միության անդամ պետությունների մաքսային մարմինների պաշտոնատար անձանց գործողությունները կարգավորելու նպատակով:</w:t>
      </w:r>
    </w:p>
    <w:p w:rsidR="00203B27" w:rsidRPr="00BC4CFA" w:rsidRDefault="002B6778" w:rsidP="00733348">
      <w:pPr>
        <w:pStyle w:val="Bodytext20"/>
        <w:shd w:val="clear" w:color="auto" w:fill="auto"/>
        <w:tabs>
          <w:tab w:val="left" w:pos="993"/>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3.</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Ռիսկի չափանիշների ցանկն օգտագործվում է Մաքսային միության անդամ պետությունների մաքսային մարմինների պաշտոնատար անձանց կողմից` </w:t>
      </w:r>
    </w:p>
    <w:p w:rsidR="00203B27" w:rsidRPr="00BC4CFA" w:rsidRDefault="0073334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Pr="00BC4CFA">
        <w:rPr>
          <w:rStyle w:val="Bodytext2TimesNewRoman0"/>
          <w:rFonts w:ascii="GHEA Grapalat" w:eastAsia="Sylfaen" w:hAnsi="GHEA Grapalat"/>
          <w:sz w:val="24"/>
          <w:szCs w:val="24"/>
        </w:rPr>
        <w:tab/>
      </w:r>
      <w:r w:rsidR="002B6778" w:rsidRPr="00BC4CFA">
        <w:rPr>
          <w:rStyle w:val="Bodytext2TimesNewRoman0"/>
          <w:rFonts w:ascii="GHEA Grapalat" w:eastAsia="Sylfaen" w:hAnsi="GHEA Grapalat"/>
          <w:sz w:val="24"/>
          <w:szCs w:val="24"/>
        </w:rPr>
        <w:t>ռիսկերի պրոֆիլներ, ռիսկի հայտնաբերմանն ուղղված նպատակային մեթոդիկաներ մշակելիս.</w:t>
      </w:r>
    </w:p>
    <w:p w:rsidR="00203B27" w:rsidRPr="00BC4CFA" w:rsidRDefault="0073334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Pr="00BC4CFA">
        <w:rPr>
          <w:rStyle w:val="Bodytext2TimesNewRoman0"/>
          <w:rFonts w:ascii="GHEA Grapalat" w:eastAsia="Sylfaen" w:hAnsi="GHEA Grapalat"/>
          <w:sz w:val="24"/>
          <w:szCs w:val="24"/>
        </w:rPr>
        <w:tab/>
      </w:r>
      <w:r w:rsidR="002B6778" w:rsidRPr="00BC4CFA">
        <w:rPr>
          <w:rStyle w:val="Bodytext2TimesNewRoman0"/>
          <w:rFonts w:ascii="GHEA Grapalat" w:eastAsia="Sylfaen" w:hAnsi="GHEA Grapalat"/>
          <w:sz w:val="24"/>
          <w:szCs w:val="24"/>
        </w:rPr>
        <w:t xml:space="preserve">Մաքսային միության անդամ պետությունների մաքսային </w:t>
      </w:r>
      <w:r w:rsidR="002B6778" w:rsidRPr="00BC4CFA">
        <w:rPr>
          <w:rStyle w:val="Bodytext2TimesNewRoman0"/>
          <w:rFonts w:ascii="GHEA Grapalat" w:eastAsia="Sylfaen" w:hAnsi="GHEA Grapalat"/>
          <w:sz w:val="24"/>
          <w:szCs w:val="24"/>
        </w:rPr>
        <w:lastRenderedPageBreak/>
        <w:t xml:space="preserve">ծառայությունների իրավական ակտերին համապատասխան՝ ռիսկեր հայտնաբերելու համար օգտագործվող տեղեկությունների աղբյուրների վերլուծությունն անցկացնելու ուղղությունները սահմանելիս. </w:t>
      </w:r>
    </w:p>
    <w:p w:rsidR="00203B27" w:rsidRPr="00BC4CFA" w:rsidRDefault="0073334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Pr="00BC4CFA">
        <w:rPr>
          <w:rStyle w:val="Bodytext2TimesNewRoman0"/>
          <w:rFonts w:ascii="GHEA Grapalat" w:eastAsia="Sylfaen" w:hAnsi="GHEA Grapalat"/>
          <w:sz w:val="24"/>
          <w:szCs w:val="24"/>
        </w:rPr>
        <w:tab/>
      </w:r>
      <w:r w:rsidR="002B6778" w:rsidRPr="00BC4CFA">
        <w:rPr>
          <w:rStyle w:val="Bodytext2TimesNewRoman0"/>
          <w:rFonts w:ascii="GHEA Grapalat" w:eastAsia="Sylfaen" w:hAnsi="GHEA Grapalat"/>
          <w:sz w:val="24"/>
          <w:szCs w:val="24"/>
        </w:rPr>
        <w:t>այն ռիսկերի շրջանակային պրոֆիլներին համապատասխան ռիսկեր հայտնաբերելիս, որոնց բնութագիրը չի ձ</w:t>
      </w:r>
      <w:r w:rsidR="00F714B7">
        <w:rPr>
          <w:rStyle w:val="Bodytext2TimesNewRoman0"/>
          <w:rFonts w:ascii="GHEA Grapalat" w:eastAsia="Sylfaen" w:hAnsi="GHEA Grapalat"/>
          <w:sz w:val="24"/>
          <w:szCs w:val="24"/>
        </w:rPr>
        <w:t>և</w:t>
      </w:r>
      <w:r w:rsidR="002B6778" w:rsidRPr="00BC4CFA">
        <w:rPr>
          <w:rStyle w:val="Bodytext2TimesNewRoman0"/>
          <w:rFonts w:ascii="GHEA Grapalat" w:eastAsia="Sylfaen" w:hAnsi="GHEA Grapalat"/>
          <w:sz w:val="24"/>
          <w:szCs w:val="24"/>
        </w:rPr>
        <w:t>ավորվել ռիսկի որոշակի ցուցիչներ</w:t>
      </w:r>
      <w:r w:rsidR="00A757E5" w:rsidRPr="00BC4CFA">
        <w:rPr>
          <w:rStyle w:val="Bodytext2TimesNewRoman0"/>
          <w:rFonts w:ascii="GHEA Grapalat" w:eastAsia="Sylfaen" w:hAnsi="GHEA Grapalat"/>
          <w:sz w:val="24"/>
          <w:szCs w:val="24"/>
        </w:rPr>
        <w:t>ի տեսքով</w:t>
      </w:r>
      <w:r w:rsidR="002B6778" w:rsidRPr="00BC4CFA">
        <w:rPr>
          <w:rStyle w:val="Bodytext2TimesNewRoman0"/>
          <w:rFonts w:ascii="GHEA Grapalat" w:eastAsia="Sylfaen" w:hAnsi="GHEA Grapalat"/>
          <w:sz w:val="24"/>
          <w:szCs w:val="24"/>
        </w:rPr>
        <w:t xml:space="preserve"> </w:t>
      </w:r>
      <w:r w:rsidR="00F714B7">
        <w:rPr>
          <w:rStyle w:val="Bodytext2TimesNewRoman0"/>
          <w:rFonts w:ascii="GHEA Grapalat" w:eastAsia="Sylfaen" w:hAnsi="GHEA Grapalat"/>
          <w:sz w:val="24"/>
          <w:szCs w:val="24"/>
        </w:rPr>
        <w:t>և</w:t>
      </w:r>
      <w:r w:rsidR="002B6778" w:rsidRPr="00BC4CFA">
        <w:rPr>
          <w:rStyle w:val="Bodytext2TimesNewRoman0"/>
          <w:rFonts w:ascii="GHEA Grapalat" w:eastAsia="Sylfaen" w:hAnsi="GHEA Grapalat"/>
          <w:sz w:val="24"/>
          <w:szCs w:val="24"/>
        </w:rPr>
        <w:t xml:space="preserve"> ենթադրում է մաքսային մարմինների պաշտոնատար անձանց մոտ համապատասխան եզրակացությունների առկայություն այն մասին, որ փոխադրվող ապրանքների մասին հայտագրված տվյալները կարող են լինել ոչ հավաստի.</w:t>
      </w:r>
    </w:p>
    <w:p w:rsidR="00203B27" w:rsidRPr="00BC4CFA" w:rsidRDefault="002B677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որպես ռիսկերի կիրառվող պրոֆիլների </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հայտնաբերված ռիսկերի մասին տվյալները համակարգելու համար դասակարգիչ.</w:t>
      </w:r>
    </w:p>
    <w:p w:rsidR="00203B27" w:rsidRPr="00BC4CFA" w:rsidRDefault="002B677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Մաքսային միության շրջանակներում ՌԿՀ-ի առանձին տարրերի (ցուցիչներ, չափեր </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այլն) միասնականացման համար ուղղություններ ընտրելիս.</w:t>
      </w:r>
    </w:p>
    <w:p w:rsidR="00203B27" w:rsidRPr="00BC4CFA" w:rsidRDefault="002B6778" w:rsidP="0022366F">
      <w:pPr>
        <w:pStyle w:val="Bodytext20"/>
        <w:shd w:val="clear" w:color="auto" w:fill="auto"/>
        <w:tabs>
          <w:tab w:val="left" w:pos="851"/>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Ռիսկի մակարդակ</w:t>
      </w:r>
      <w:r w:rsidR="00EE19B5" w:rsidRPr="00BC4CFA">
        <w:rPr>
          <w:rStyle w:val="Bodytext2TimesNewRoman0"/>
          <w:rFonts w:ascii="GHEA Grapalat" w:eastAsia="Sylfaen" w:hAnsi="GHEA Grapalat"/>
          <w:sz w:val="24"/>
          <w:szCs w:val="24"/>
        </w:rPr>
        <w:t>ը</w:t>
      </w:r>
      <w:r w:rsidRPr="00BC4CFA">
        <w:rPr>
          <w:rStyle w:val="Bodytext2TimesNewRoman0"/>
          <w:rFonts w:ascii="GHEA Grapalat" w:eastAsia="Sylfaen" w:hAnsi="GHEA Grapalat"/>
          <w:sz w:val="24"/>
          <w:szCs w:val="24"/>
        </w:rPr>
        <w:t xml:space="preserve"> որոշ</w:t>
      </w:r>
      <w:r w:rsidR="00EE19B5" w:rsidRPr="00BC4CFA">
        <w:rPr>
          <w:rStyle w:val="Bodytext2TimesNewRoman0"/>
          <w:rFonts w:ascii="GHEA Grapalat" w:eastAsia="Sylfaen" w:hAnsi="GHEA Grapalat"/>
          <w:sz w:val="24"/>
          <w:szCs w:val="24"/>
        </w:rPr>
        <w:t>ելու</w:t>
      </w:r>
      <w:r w:rsidRPr="00BC4CFA">
        <w:rPr>
          <w:rStyle w:val="Bodytext2TimesNewRoman0"/>
          <w:rFonts w:ascii="GHEA Grapalat" w:eastAsia="Sylfaen" w:hAnsi="GHEA Grapalat"/>
          <w:sz w:val="24"/>
          <w:szCs w:val="24"/>
        </w:rPr>
        <w:t xml:space="preserve"> համար ԱՏԳ-ի մասնակիցների գործունեության վերլուծությունն ու գնահատումն իրականացնելիս.</w:t>
      </w:r>
    </w:p>
    <w:p w:rsidR="00203B27" w:rsidRPr="00BC4CFA" w:rsidRDefault="002B6778" w:rsidP="00733348">
      <w:pPr>
        <w:pStyle w:val="Bodytext20"/>
        <w:shd w:val="clear" w:color="auto" w:fill="auto"/>
        <w:tabs>
          <w:tab w:val="left" w:pos="993"/>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4.</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 xml:space="preserve">Ռիսկի չափանիշների ցանկը գաղտնի տեղեկատվություն է </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 </w:t>
      </w:r>
      <w:r w:rsidR="00EE19B5" w:rsidRPr="00BC4CFA">
        <w:rPr>
          <w:rStyle w:val="Bodytext2TimesNewRoman0"/>
          <w:rFonts w:ascii="GHEA Grapalat" w:eastAsia="Sylfaen" w:hAnsi="GHEA Grapalat"/>
          <w:sz w:val="24"/>
          <w:szCs w:val="24"/>
        </w:rPr>
        <w:t xml:space="preserve">ենթակա </w:t>
      </w:r>
      <w:r w:rsidRPr="00BC4CFA">
        <w:rPr>
          <w:rStyle w:val="Bodytext2TimesNewRoman0"/>
          <w:rFonts w:ascii="GHEA Grapalat" w:eastAsia="Sylfaen" w:hAnsi="GHEA Grapalat"/>
          <w:sz w:val="24"/>
          <w:szCs w:val="24"/>
        </w:rPr>
        <w:t>չ</w:t>
      </w:r>
      <w:r w:rsidR="00EE19B5" w:rsidRPr="00BC4CFA">
        <w:rPr>
          <w:rStyle w:val="Bodytext2TimesNewRoman0"/>
          <w:rFonts w:ascii="GHEA Grapalat" w:eastAsia="Sylfaen" w:hAnsi="GHEA Grapalat"/>
          <w:sz w:val="24"/>
          <w:szCs w:val="24"/>
        </w:rPr>
        <w:t>է</w:t>
      </w:r>
      <w:r w:rsidRPr="00BC4CFA">
        <w:rPr>
          <w:rStyle w:val="Bodytext2TimesNewRoman0"/>
          <w:rFonts w:ascii="GHEA Grapalat" w:eastAsia="Sylfaen" w:hAnsi="GHEA Grapalat"/>
          <w:sz w:val="24"/>
          <w:szCs w:val="24"/>
        </w:rPr>
        <w:t xml:space="preserve"> </w:t>
      </w:r>
      <w:r w:rsidR="00EE19B5" w:rsidRPr="00BC4CFA">
        <w:rPr>
          <w:rStyle w:val="Bodytext2TimesNewRoman0"/>
          <w:rFonts w:ascii="GHEA Grapalat" w:eastAsia="Sylfaen" w:hAnsi="GHEA Grapalat"/>
          <w:sz w:val="24"/>
          <w:szCs w:val="24"/>
        </w:rPr>
        <w:t>հրապարակման</w:t>
      </w:r>
      <w:r w:rsidRPr="00BC4CFA">
        <w:rPr>
          <w:rStyle w:val="Bodytext2TimesNewRoman0"/>
          <w:rFonts w:ascii="GHEA Grapalat" w:eastAsia="Sylfaen" w:hAnsi="GHEA Grapalat"/>
          <w:sz w:val="24"/>
          <w:szCs w:val="24"/>
        </w:rPr>
        <w:t xml:space="preserve"> այլ անձանց համար՝ բացառությամբ Մաքսային միության անդամ պետությունների օրենսդրությամբ սահմանված դեպքերի:</w:t>
      </w:r>
    </w:p>
    <w:p w:rsidR="00203B27" w:rsidRPr="00BC4CFA" w:rsidRDefault="002B6778" w:rsidP="00733348">
      <w:pPr>
        <w:pStyle w:val="Bodytext20"/>
        <w:shd w:val="clear" w:color="auto" w:fill="auto"/>
        <w:tabs>
          <w:tab w:val="left" w:pos="993"/>
        </w:tabs>
        <w:spacing w:after="160" w:line="360" w:lineRule="auto"/>
        <w:ind w:firstLine="567"/>
        <w:rPr>
          <w:rFonts w:ascii="GHEA Grapalat" w:hAnsi="GHEA Grapalat"/>
          <w:sz w:val="24"/>
          <w:szCs w:val="24"/>
        </w:rPr>
      </w:pPr>
      <w:r w:rsidRPr="00BC4CFA">
        <w:rPr>
          <w:rStyle w:val="Bodytext2TimesNewRoman0"/>
          <w:rFonts w:ascii="GHEA Grapalat" w:eastAsia="Sylfaen" w:hAnsi="GHEA Grapalat"/>
          <w:sz w:val="24"/>
          <w:szCs w:val="24"/>
        </w:rPr>
        <w:t>5.</w:t>
      </w:r>
      <w:r w:rsidR="00733348" w:rsidRPr="00BC4CFA">
        <w:rPr>
          <w:rStyle w:val="Bodytext2TimesNewRoman0"/>
          <w:rFonts w:ascii="GHEA Grapalat" w:eastAsia="Sylfaen" w:hAnsi="GHEA Grapalat"/>
          <w:sz w:val="24"/>
          <w:szCs w:val="24"/>
        </w:rPr>
        <w:tab/>
      </w:r>
      <w:r w:rsidRPr="00BC4CFA">
        <w:rPr>
          <w:rStyle w:val="Bodytext2TimesNewRoman0"/>
          <w:rFonts w:ascii="GHEA Grapalat" w:eastAsia="Sylfaen" w:hAnsi="GHEA Grapalat"/>
          <w:sz w:val="24"/>
          <w:szCs w:val="24"/>
        </w:rPr>
        <w:t>Օգտագործելով Ռիսկի չափանիշների ցանկը՝ Մաքսային միության անդամ պետությունների մաքսային մարմինները իրավական ակտերով ձ</w:t>
      </w:r>
      <w:r w:rsidR="00F714B7">
        <w:rPr>
          <w:rStyle w:val="Bodytext2TimesNewRoman0"/>
          <w:rFonts w:ascii="GHEA Grapalat" w:eastAsia="Sylfaen" w:hAnsi="GHEA Grapalat"/>
          <w:sz w:val="24"/>
          <w:szCs w:val="24"/>
        </w:rPr>
        <w:t>և</w:t>
      </w:r>
      <w:r w:rsidRPr="00BC4CFA">
        <w:rPr>
          <w:rStyle w:val="Bodytext2TimesNewRoman0"/>
          <w:rFonts w:ascii="GHEA Grapalat" w:eastAsia="Sylfaen" w:hAnsi="GHEA Grapalat"/>
          <w:sz w:val="24"/>
          <w:szCs w:val="24"/>
        </w:rPr>
        <w:t xml:space="preserve">ավորում են ռիսկերի չափանիշների սեփական ցանկեր, որոնք օգտագործվում են Մաքսային միության առանձին անդամ պետությունում, այդ թվում՝ անհրաժեշտության դեպքում լրացնում են Ռիսկի չափանիշների ցանկը ռիսկի հատուկ ոլորտներով: </w:t>
      </w:r>
    </w:p>
    <w:sectPr w:rsidR="00203B27" w:rsidRPr="00BC4CFA" w:rsidSect="00E75841">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18" w:right="1418" w:bottom="1418" w:left="1418" w:header="284" w:footer="6" w:gutter="0"/>
      <w:cols w:space="720"/>
      <w:noEndnote/>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gela" w:date="2015-09-02T10:10:00Z" w:initials="A">
    <w:p w:rsidR="00594512" w:rsidRDefault="00594512">
      <w:pPr>
        <w:pStyle w:val="CommentText"/>
      </w:pPr>
      <w:r>
        <w:rPr>
          <w:rStyle w:val="CommentReference"/>
        </w:rPr>
        <w:annotationRef/>
      </w:r>
      <w:r>
        <w:t>ամենայն հավանականությամբ սխալ է շարադրված բնօրինակի նախադասությունը</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0F" w:rsidRDefault="00A3100F" w:rsidP="00203B27">
      <w:r>
        <w:separator/>
      </w:r>
    </w:p>
  </w:endnote>
  <w:endnote w:type="continuationSeparator" w:id="0">
    <w:p w:rsidR="00A3100F" w:rsidRDefault="00A3100F" w:rsidP="002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41" w:rsidRDefault="00E75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41" w:rsidRDefault="00E75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41" w:rsidRDefault="00E75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00F" w:rsidRDefault="00A3100F"/>
  </w:footnote>
  <w:footnote w:type="continuationSeparator" w:id="0">
    <w:p w:rsidR="00A3100F" w:rsidRDefault="00A310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41" w:rsidRDefault="00E75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4042251"/>
      <w:docPartObj>
        <w:docPartGallery w:val="Page Numbers (Top of Page)"/>
        <w:docPartUnique/>
      </w:docPartObj>
    </w:sdtPr>
    <w:sdtEndPr/>
    <w:sdtContent>
      <w:p w:rsidR="00E75841" w:rsidRPr="00E75841" w:rsidRDefault="00E75841">
        <w:pPr>
          <w:pStyle w:val="Header"/>
          <w:jc w:val="center"/>
          <w:rPr>
            <w:rFonts w:ascii="GHEA Grapalat" w:hAnsi="GHEA Grapalat"/>
          </w:rPr>
        </w:pPr>
        <w:r w:rsidRPr="00E75841">
          <w:rPr>
            <w:rFonts w:ascii="GHEA Grapalat" w:hAnsi="GHEA Grapalat"/>
          </w:rPr>
          <w:fldChar w:fldCharType="begin"/>
        </w:r>
        <w:r w:rsidRPr="00E75841">
          <w:rPr>
            <w:rFonts w:ascii="GHEA Grapalat" w:hAnsi="GHEA Grapalat"/>
          </w:rPr>
          <w:instrText xml:space="preserve"> PAGE   \* MERGEFORMAT </w:instrText>
        </w:r>
        <w:r w:rsidRPr="00E75841">
          <w:rPr>
            <w:rFonts w:ascii="GHEA Grapalat" w:hAnsi="GHEA Grapalat"/>
          </w:rPr>
          <w:fldChar w:fldCharType="separate"/>
        </w:r>
        <w:r w:rsidR="00DC31CA">
          <w:rPr>
            <w:rFonts w:ascii="GHEA Grapalat" w:hAnsi="GHEA Grapalat"/>
            <w:noProof/>
          </w:rPr>
          <w:t>14</w:t>
        </w:r>
        <w:r w:rsidRPr="00E75841">
          <w:rPr>
            <w:rFonts w:ascii="GHEA Grapalat" w:hAnsi="GHEA Grapalat"/>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41" w:rsidRDefault="00E75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29B9"/>
    <w:multiLevelType w:val="multilevel"/>
    <w:tmpl w:val="C082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860217"/>
    <w:multiLevelType w:val="multilevel"/>
    <w:tmpl w:val="9C12E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C938A1"/>
    <w:multiLevelType w:val="multilevel"/>
    <w:tmpl w:val="33FA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3B27"/>
    <w:rsid w:val="00033B78"/>
    <w:rsid w:val="0005259E"/>
    <w:rsid w:val="00063011"/>
    <w:rsid w:val="00072BD0"/>
    <w:rsid w:val="00085B06"/>
    <w:rsid w:val="00094935"/>
    <w:rsid w:val="000B1514"/>
    <w:rsid w:val="000D676F"/>
    <w:rsid w:val="00106E82"/>
    <w:rsid w:val="00122785"/>
    <w:rsid w:val="00153D4C"/>
    <w:rsid w:val="001607F3"/>
    <w:rsid w:val="001717C7"/>
    <w:rsid w:val="001C0CB2"/>
    <w:rsid w:val="001F53B4"/>
    <w:rsid w:val="00203B27"/>
    <w:rsid w:val="00223612"/>
    <w:rsid w:val="0022366F"/>
    <w:rsid w:val="00223C45"/>
    <w:rsid w:val="0022480D"/>
    <w:rsid w:val="00240AEB"/>
    <w:rsid w:val="0024640C"/>
    <w:rsid w:val="00255951"/>
    <w:rsid w:val="0025650E"/>
    <w:rsid w:val="00293E5A"/>
    <w:rsid w:val="002A2F97"/>
    <w:rsid w:val="002B52E2"/>
    <w:rsid w:val="002B6778"/>
    <w:rsid w:val="00300E72"/>
    <w:rsid w:val="0043660E"/>
    <w:rsid w:val="00444D57"/>
    <w:rsid w:val="004A5578"/>
    <w:rsid w:val="004B1D58"/>
    <w:rsid w:val="004D25C4"/>
    <w:rsid w:val="00521C5A"/>
    <w:rsid w:val="00555175"/>
    <w:rsid w:val="005551C1"/>
    <w:rsid w:val="00594512"/>
    <w:rsid w:val="005A4122"/>
    <w:rsid w:val="005F0D99"/>
    <w:rsid w:val="00624BB3"/>
    <w:rsid w:val="00624E9B"/>
    <w:rsid w:val="0063597D"/>
    <w:rsid w:val="00643228"/>
    <w:rsid w:val="006B394C"/>
    <w:rsid w:val="006B60F5"/>
    <w:rsid w:val="0071098B"/>
    <w:rsid w:val="00726853"/>
    <w:rsid w:val="00733348"/>
    <w:rsid w:val="00751E8C"/>
    <w:rsid w:val="007939F7"/>
    <w:rsid w:val="007E49C9"/>
    <w:rsid w:val="00816045"/>
    <w:rsid w:val="00854E14"/>
    <w:rsid w:val="008677CF"/>
    <w:rsid w:val="00873B99"/>
    <w:rsid w:val="00887188"/>
    <w:rsid w:val="0089089C"/>
    <w:rsid w:val="00897A55"/>
    <w:rsid w:val="008D5844"/>
    <w:rsid w:val="00925076"/>
    <w:rsid w:val="009453F9"/>
    <w:rsid w:val="00982DA1"/>
    <w:rsid w:val="009A6264"/>
    <w:rsid w:val="009B4FA6"/>
    <w:rsid w:val="009B722E"/>
    <w:rsid w:val="009C1ED9"/>
    <w:rsid w:val="009D0171"/>
    <w:rsid w:val="009F4417"/>
    <w:rsid w:val="00A11833"/>
    <w:rsid w:val="00A3100F"/>
    <w:rsid w:val="00A3750F"/>
    <w:rsid w:val="00A55C5E"/>
    <w:rsid w:val="00A67797"/>
    <w:rsid w:val="00A757E5"/>
    <w:rsid w:val="00AB130C"/>
    <w:rsid w:val="00AE5020"/>
    <w:rsid w:val="00AE7F67"/>
    <w:rsid w:val="00B317CA"/>
    <w:rsid w:val="00B5193D"/>
    <w:rsid w:val="00B83273"/>
    <w:rsid w:val="00B95F87"/>
    <w:rsid w:val="00BC4CFA"/>
    <w:rsid w:val="00C117A4"/>
    <w:rsid w:val="00C558AA"/>
    <w:rsid w:val="00CD2F73"/>
    <w:rsid w:val="00CE0A2A"/>
    <w:rsid w:val="00D11481"/>
    <w:rsid w:val="00D11578"/>
    <w:rsid w:val="00D4120A"/>
    <w:rsid w:val="00D62C52"/>
    <w:rsid w:val="00D80AF1"/>
    <w:rsid w:val="00D87289"/>
    <w:rsid w:val="00D90B98"/>
    <w:rsid w:val="00DC31CA"/>
    <w:rsid w:val="00DC4099"/>
    <w:rsid w:val="00DD7F12"/>
    <w:rsid w:val="00E278E2"/>
    <w:rsid w:val="00E75841"/>
    <w:rsid w:val="00E833B8"/>
    <w:rsid w:val="00E97B29"/>
    <w:rsid w:val="00EA0793"/>
    <w:rsid w:val="00ED0FE4"/>
    <w:rsid w:val="00EE19B5"/>
    <w:rsid w:val="00F714B7"/>
    <w:rsid w:val="00F719CE"/>
    <w:rsid w:val="00F85CB1"/>
    <w:rsid w:val="00F93C89"/>
    <w:rsid w:val="00FA19E5"/>
    <w:rsid w:val="00FA1FAB"/>
    <w:rsid w:val="00FC24D5"/>
    <w:rsid w:val="00FD0928"/>
    <w:rsid w:val="00FE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B2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3B27"/>
    <w:rPr>
      <w:color w:val="000080"/>
      <w:u w:val="single"/>
    </w:rPr>
  </w:style>
  <w:style w:type="character" w:customStyle="1" w:styleId="Heading1">
    <w:name w:val="Heading #1_"/>
    <w:basedOn w:val="DefaultParagraphFont"/>
    <w:link w:val="Heading10"/>
    <w:rsid w:val="00203B27"/>
    <w:rPr>
      <w:b/>
      <w:bCs/>
      <w:i w:val="0"/>
      <w:iCs w:val="0"/>
      <w:smallCaps w:val="0"/>
      <w:strike w:val="0"/>
      <w:sz w:val="34"/>
      <w:szCs w:val="34"/>
      <w:u w:val="none"/>
    </w:rPr>
  </w:style>
  <w:style w:type="character" w:customStyle="1" w:styleId="Heading1TimesNewRoman">
    <w:name w:val="Heading #1 + Times New Roman"/>
    <w:aliases w:val="16 pt"/>
    <w:basedOn w:val="Heading1"/>
    <w:rsid w:val="00203B27"/>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ing1TimesNewRoman0">
    <w:name w:val="Heading #1 + Times New Roman"/>
    <w:aliases w:val="16 pt,Spacing 4 pt"/>
    <w:basedOn w:val="Heading1"/>
    <w:rsid w:val="00203B27"/>
    <w:rPr>
      <w:rFonts w:ascii="Times New Roman" w:eastAsia="Times New Roman" w:hAnsi="Times New Roman" w:cs="Times New Roman"/>
      <w:b/>
      <w:bCs/>
      <w:i w:val="0"/>
      <w:iCs w:val="0"/>
      <w:smallCaps w:val="0"/>
      <w:strike w:val="0"/>
      <w:color w:val="000000"/>
      <w:spacing w:val="80"/>
      <w:w w:val="100"/>
      <w:position w:val="0"/>
      <w:sz w:val="32"/>
      <w:szCs w:val="32"/>
      <w:u w:val="none"/>
      <w:lang w:val="hy-AM" w:eastAsia="hy-AM" w:bidi="hy-AM"/>
    </w:rPr>
  </w:style>
  <w:style w:type="character" w:customStyle="1" w:styleId="Bodytext3">
    <w:name w:val="Body text (3)_"/>
    <w:basedOn w:val="DefaultParagraphFont"/>
    <w:link w:val="Bodytext30"/>
    <w:rsid w:val="00203B27"/>
    <w:rPr>
      <w:b w:val="0"/>
      <w:bCs w:val="0"/>
      <w:i w:val="0"/>
      <w:iCs w:val="0"/>
      <w:smallCaps w:val="0"/>
      <w:strike w:val="0"/>
      <w:sz w:val="26"/>
      <w:szCs w:val="26"/>
      <w:u w:val="none"/>
      <w:lang w:val="hy-AM" w:eastAsia="hy-AM" w:bidi="hy-AM"/>
    </w:rPr>
  </w:style>
  <w:style w:type="character" w:customStyle="1" w:styleId="Bodytext3TimesNewRoman">
    <w:name w:val="Body text (3) + Times New Roman"/>
    <w:aliases w:val="Bold"/>
    <w:basedOn w:val="Bodytext3"/>
    <w:rsid w:val="00203B27"/>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7">
    <w:name w:val="Body text (7)_"/>
    <w:basedOn w:val="DefaultParagraphFont"/>
    <w:link w:val="Bodytext70"/>
    <w:rsid w:val="00203B27"/>
    <w:rPr>
      <w:rFonts w:ascii="Times New Roman" w:eastAsia="Times New Roman" w:hAnsi="Times New Roman" w:cs="Times New Roman"/>
      <w:b/>
      <w:bCs/>
      <w:i w:val="0"/>
      <w:iCs w:val="0"/>
      <w:smallCaps w:val="0"/>
      <w:strike w:val="0"/>
      <w:sz w:val="22"/>
      <w:szCs w:val="22"/>
      <w:u w:val="none"/>
    </w:rPr>
  </w:style>
  <w:style w:type="character" w:customStyle="1" w:styleId="Bodytext5">
    <w:name w:val="Body text (5)_"/>
    <w:basedOn w:val="DefaultParagraphFont"/>
    <w:link w:val="Bodytext50"/>
    <w:rsid w:val="00203B27"/>
    <w:rPr>
      <w:b w:val="0"/>
      <w:bCs w:val="0"/>
      <w:i w:val="0"/>
      <w:iCs w:val="0"/>
      <w:smallCaps w:val="0"/>
      <w:strike w:val="0"/>
      <w:sz w:val="24"/>
      <w:szCs w:val="24"/>
      <w:u w:val="none"/>
    </w:rPr>
  </w:style>
  <w:style w:type="character" w:customStyle="1" w:styleId="Bodytext5TimesNewRoman">
    <w:name w:val="Body text (5) + Times New Roman"/>
    <w:aliases w:val="13 pt"/>
    <w:basedOn w:val="Bodytext5"/>
    <w:rsid w:val="00203B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
    <w:name w:val="Body text (2)_"/>
    <w:basedOn w:val="DefaultParagraphFont"/>
    <w:link w:val="Bodytext20"/>
    <w:rsid w:val="00203B27"/>
    <w:rPr>
      <w:b w:val="0"/>
      <w:bCs w:val="0"/>
      <w:i w:val="0"/>
      <w:iCs w:val="0"/>
      <w:smallCaps w:val="0"/>
      <w:strike w:val="0"/>
      <w:sz w:val="16"/>
      <w:szCs w:val="16"/>
      <w:u w:val="none"/>
    </w:rPr>
  </w:style>
  <w:style w:type="character" w:customStyle="1" w:styleId="Bodytext2TimesNewRoman">
    <w:name w:val="Body text (2) + Times New Roman"/>
    <w:aliases w:val="13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1pt">
    <w:name w:val="Body text (2) + 11 pt"/>
    <w:basedOn w:val="Bodytext2"/>
    <w:rsid w:val="00203B27"/>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TimesNewRoman0">
    <w:name w:val="Body text (2) + Times New Roman"/>
    <w:aliases w:val="8.5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Bodytext6">
    <w:name w:val="Body text (6)_"/>
    <w:basedOn w:val="DefaultParagraphFont"/>
    <w:link w:val="Bodytext60"/>
    <w:rsid w:val="00203B27"/>
    <w:rPr>
      <w:b/>
      <w:bCs/>
      <w:i w:val="0"/>
      <w:iCs w:val="0"/>
      <w:smallCaps w:val="0"/>
      <w:strike w:val="0"/>
      <w:sz w:val="17"/>
      <w:szCs w:val="17"/>
      <w:u w:val="none"/>
    </w:rPr>
  </w:style>
  <w:style w:type="character" w:customStyle="1" w:styleId="Bodytext6TimesNewRoman">
    <w:name w:val="Body text (6) + Times New Roman"/>
    <w:basedOn w:val="Bodytext6"/>
    <w:rsid w:val="00203B27"/>
    <w:rPr>
      <w:rFonts w:ascii="Times New Roman" w:eastAsia="Times New Roman" w:hAnsi="Times New Roman" w:cs="Times New Roman"/>
      <w:b/>
      <w:bCs/>
      <w:i w:val="0"/>
      <w:iCs w:val="0"/>
      <w:smallCaps w:val="0"/>
      <w:strike w:val="0"/>
      <w:color w:val="000000"/>
      <w:spacing w:val="0"/>
      <w:w w:val="100"/>
      <w:position w:val="0"/>
      <w:sz w:val="17"/>
      <w:szCs w:val="17"/>
      <w:u w:val="none"/>
      <w:lang w:val="hy-AM" w:eastAsia="hy-AM" w:bidi="hy-AM"/>
    </w:rPr>
  </w:style>
  <w:style w:type="character" w:customStyle="1" w:styleId="Bodytext2TimesNewRoman1">
    <w:name w:val="Body text (2) + Times New Roman"/>
    <w:aliases w:val="7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y-AM" w:eastAsia="hy-AM" w:bidi="hy-AM"/>
    </w:rPr>
  </w:style>
  <w:style w:type="character" w:customStyle="1" w:styleId="Bodytext2TimesNewRoman2">
    <w:name w:val="Body text (2) + Times New Roman"/>
    <w:aliases w:val="10 pt"/>
    <w:basedOn w:val="Bodytext2"/>
    <w:rsid w:val="00203B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TimesNewRoman3">
    <w:name w:val="Body text (2) + Times New Roman"/>
    <w:aliases w:val="10.5 pt,Bold"/>
    <w:basedOn w:val="Bodytext2"/>
    <w:rsid w:val="00203B27"/>
    <w:rPr>
      <w:rFonts w:ascii="Times New Roman" w:eastAsia="Times New Roman" w:hAnsi="Times New Roman" w:cs="Times New Roman"/>
      <w:b/>
      <w:bCs/>
      <w:i w:val="0"/>
      <w:iCs w:val="0"/>
      <w:smallCaps w:val="0"/>
      <w:strike w:val="0"/>
      <w:color w:val="000000"/>
      <w:spacing w:val="0"/>
      <w:w w:val="100"/>
      <w:position w:val="0"/>
      <w:sz w:val="21"/>
      <w:szCs w:val="21"/>
      <w:u w:val="none"/>
      <w:lang w:val="hy-AM" w:eastAsia="hy-AM" w:bidi="hy-AM"/>
    </w:rPr>
  </w:style>
  <w:style w:type="paragraph" w:customStyle="1" w:styleId="Heading10">
    <w:name w:val="Heading #1"/>
    <w:basedOn w:val="Normal"/>
    <w:link w:val="Heading1"/>
    <w:rsid w:val="00203B27"/>
    <w:pPr>
      <w:shd w:val="clear" w:color="auto" w:fill="FFFFFF"/>
      <w:spacing w:after="180" w:line="384" w:lineRule="exact"/>
      <w:jc w:val="center"/>
      <w:outlineLvl w:val="0"/>
    </w:pPr>
    <w:rPr>
      <w:b/>
      <w:bCs/>
      <w:sz w:val="34"/>
      <w:szCs w:val="34"/>
    </w:rPr>
  </w:style>
  <w:style w:type="paragraph" w:customStyle="1" w:styleId="Bodytext30">
    <w:name w:val="Body text (3)"/>
    <w:basedOn w:val="Normal"/>
    <w:link w:val="Bodytext3"/>
    <w:rsid w:val="00203B27"/>
    <w:pPr>
      <w:shd w:val="clear" w:color="auto" w:fill="FFFFFF"/>
      <w:spacing w:before="360" w:after="60" w:line="0" w:lineRule="atLeast"/>
      <w:jc w:val="both"/>
    </w:pPr>
    <w:rPr>
      <w:sz w:val="26"/>
      <w:szCs w:val="26"/>
    </w:rPr>
  </w:style>
  <w:style w:type="paragraph" w:customStyle="1" w:styleId="Bodytext70">
    <w:name w:val="Body text (7)"/>
    <w:basedOn w:val="Normal"/>
    <w:link w:val="Bodytext7"/>
    <w:rsid w:val="00203B27"/>
    <w:pPr>
      <w:shd w:val="clear" w:color="auto" w:fill="FFFFFF"/>
      <w:spacing w:before="180" w:line="259" w:lineRule="exact"/>
      <w:jc w:val="center"/>
    </w:pPr>
    <w:rPr>
      <w:rFonts w:ascii="Times New Roman" w:eastAsia="Times New Roman" w:hAnsi="Times New Roman" w:cs="Times New Roman"/>
      <w:b/>
      <w:bCs/>
      <w:sz w:val="22"/>
      <w:szCs w:val="22"/>
    </w:rPr>
  </w:style>
  <w:style w:type="paragraph" w:customStyle="1" w:styleId="Bodytext50">
    <w:name w:val="Body text (5)"/>
    <w:basedOn w:val="Normal"/>
    <w:link w:val="Bodytext5"/>
    <w:rsid w:val="00203B27"/>
    <w:pPr>
      <w:shd w:val="clear" w:color="auto" w:fill="FFFFFF"/>
      <w:spacing w:before="180" w:after="180" w:line="283" w:lineRule="exact"/>
      <w:jc w:val="both"/>
    </w:pPr>
  </w:style>
  <w:style w:type="paragraph" w:customStyle="1" w:styleId="Bodytext20">
    <w:name w:val="Body text (2)"/>
    <w:basedOn w:val="Normal"/>
    <w:link w:val="Bodytext2"/>
    <w:rsid w:val="00203B27"/>
    <w:pPr>
      <w:shd w:val="clear" w:color="auto" w:fill="FFFFFF"/>
      <w:spacing w:line="0" w:lineRule="atLeast"/>
      <w:jc w:val="both"/>
    </w:pPr>
    <w:rPr>
      <w:sz w:val="16"/>
      <w:szCs w:val="16"/>
    </w:rPr>
  </w:style>
  <w:style w:type="paragraph" w:customStyle="1" w:styleId="Bodytext60">
    <w:name w:val="Body text (6)"/>
    <w:basedOn w:val="Normal"/>
    <w:link w:val="Bodytext6"/>
    <w:rsid w:val="00203B27"/>
    <w:pPr>
      <w:shd w:val="clear" w:color="auto" w:fill="FFFFFF"/>
      <w:spacing w:before="180" w:line="206" w:lineRule="exact"/>
      <w:jc w:val="center"/>
    </w:pPr>
    <w:rPr>
      <w:b/>
      <w:bCs/>
      <w:sz w:val="17"/>
      <w:szCs w:val="17"/>
    </w:rPr>
  </w:style>
  <w:style w:type="paragraph" w:styleId="BalloonText">
    <w:name w:val="Balloon Text"/>
    <w:basedOn w:val="Normal"/>
    <w:link w:val="BalloonTextChar"/>
    <w:uiPriority w:val="99"/>
    <w:semiHidden/>
    <w:unhideWhenUsed/>
    <w:rsid w:val="00D80AF1"/>
    <w:rPr>
      <w:rFonts w:ascii="Tahoma" w:hAnsi="Tahoma" w:cs="Tahoma"/>
      <w:sz w:val="16"/>
      <w:szCs w:val="16"/>
    </w:rPr>
  </w:style>
  <w:style w:type="character" w:customStyle="1" w:styleId="BalloonTextChar">
    <w:name w:val="Balloon Text Char"/>
    <w:basedOn w:val="DefaultParagraphFont"/>
    <w:link w:val="BalloonText"/>
    <w:uiPriority w:val="99"/>
    <w:semiHidden/>
    <w:rsid w:val="00D80AF1"/>
    <w:rPr>
      <w:rFonts w:ascii="Tahoma" w:hAnsi="Tahoma" w:cs="Tahoma"/>
      <w:color w:val="000000"/>
      <w:sz w:val="16"/>
      <w:szCs w:val="16"/>
    </w:rPr>
  </w:style>
  <w:style w:type="table" w:styleId="TableGrid">
    <w:name w:val="Table Grid"/>
    <w:basedOn w:val="TableNormal"/>
    <w:uiPriority w:val="59"/>
    <w:rsid w:val="00873B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4512"/>
    <w:rPr>
      <w:sz w:val="16"/>
      <w:szCs w:val="16"/>
    </w:rPr>
  </w:style>
  <w:style w:type="paragraph" w:styleId="CommentText">
    <w:name w:val="annotation text"/>
    <w:basedOn w:val="Normal"/>
    <w:link w:val="CommentTextChar"/>
    <w:uiPriority w:val="99"/>
    <w:semiHidden/>
    <w:unhideWhenUsed/>
    <w:rsid w:val="00594512"/>
    <w:rPr>
      <w:sz w:val="20"/>
      <w:szCs w:val="20"/>
    </w:rPr>
  </w:style>
  <w:style w:type="character" w:customStyle="1" w:styleId="CommentTextChar">
    <w:name w:val="Comment Text Char"/>
    <w:basedOn w:val="DefaultParagraphFont"/>
    <w:link w:val="CommentText"/>
    <w:uiPriority w:val="99"/>
    <w:semiHidden/>
    <w:rsid w:val="00594512"/>
    <w:rPr>
      <w:color w:val="000000"/>
      <w:sz w:val="20"/>
      <w:szCs w:val="20"/>
    </w:rPr>
  </w:style>
  <w:style w:type="paragraph" w:styleId="CommentSubject">
    <w:name w:val="annotation subject"/>
    <w:basedOn w:val="CommentText"/>
    <w:next w:val="CommentText"/>
    <w:link w:val="CommentSubjectChar"/>
    <w:uiPriority w:val="99"/>
    <w:semiHidden/>
    <w:unhideWhenUsed/>
    <w:rsid w:val="00594512"/>
    <w:rPr>
      <w:b/>
      <w:bCs/>
    </w:rPr>
  </w:style>
  <w:style w:type="character" w:customStyle="1" w:styleId="CommentSubjectChar">
    <w:name w:val="Comment Subject Char"/>
    <w:basedOn w:val="CommentTextChar"/>
    <w:link w:val="CommentSubject"/>
    <w:uiPriority w:val="99"/>
    <w:semiHidden/>
    <w:rsid w:val="00594512"/>
    <w:rPr>
      <w:b/>
      <w:bCs/>
      <w:color w:val="000000"/>
      <w:sz w:val="20"/>
      <w:szCs w:val="20"/>
    </w:rPr>
  </w:style>
  <w:style w:type="paragraph" w:styleId="Header">
    <w:name w:val="header"/>
    <w:basedOn w:val="Normal"/>
    <w:link w:val="HeaderChar"/>
    <w:uiPriority w:val="99"/>
    <w:unhideWhenUsed/>
    <w:rsid w:val="00E75841"/>
    <w:pPr>
      <w:tabs>
        <w:tab w:val="center" w:pos="4844"/>
        <w:tab w:val="right" w:pos="9689"/>
      </w:tabs>
    </w:pPr>
  </w:style>
  <w:style w:type="character" w:customStyle="1" w:styleId="HeaderChar">
    <w:name w:val="Header Char"/>
    <w:basedOn w:val="DefaultParagraphFont"/>
    <w:link w:val="Header"/>
    <w:uiPriority w:val="99"/>
    <w:rsid w:val="00E75841"/>
    <w:rPr>
      <w:color w:val="000000"/>
    </w:rPr>
  </w:style>
  <w:style w:type="paragraph" w:styleId="Footer">
    <w:name w:val="footer"/>
    <w:basedOn w:val="Normal"/>
    <w:link w:val="FooterChar"/>
    <w:uiPriority w:val="99"/>
    <w:semiHidden/>
    <w:unhideWhenUsed/>
    <w:rsid w:val="00E75841"/>
    <w:pPr>
      <w:tabs>
        <w:tab w:val="center" w:pos="4844"/>
        <w:tab w:val="right" w:pos="9689"/>
      </w:tabs>
    </w:pPr>
  </w:style>
  <w:style w:type="character" w:customStyle="1" w:styleId="FooterChar">
    <w:name w:val="Footer Char"/>
    <w:basedOn w:val="DefaultParagraphFont"/>
    <w:link w:val="Footer"/>
    <w:uiPriority w:val="99"/>
    <w:semiHidden/>
    <w:rsid w:val="00E7584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F474-B006-4AB7-8258-9FBD915E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14</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267</cp:revision>
  <cp:lastPrinted>2015-09-23T09:56:00Z</cp:lastPrinted>
  <dcterms:created xsi:type="dcterms:W3CDTF">2015-07-17T08:58:00Z</dcterms:created>
  <dcterms:modified xsi:type="dcterms:W3CDTF">2015-09-23T09:59:00Z</dcterms:modified>
</cp:coreProperties>
</file>