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9D" w:rsidRPr="00CB405A" w:rsidRDefault="008E4031" w:rsidP="00BD1230">
      <w:pPr>
        <w:pStyle w:val="Bodytext40"/>
        <w:shd w:val="clear" w:color="auto" w:fill="auto"/>
        <w:spacing w:before="0" w:after="160" w:line="360" w:lineRule="auto"/>
        <w:ind w:left="8505" w:right="-30"/>
        <w:jc w:val="center"/>
        <w:rPr>
          <w:rFonts w:ascii="GHEA Grapalat" w:hAnsi="GHEA Grapalat"/>
          <w:sz w:val="24"/>
          <w:szCs w:val="24"/>
        </w:rPr>
      </w:pPr>
      <w:r w:rsidRPr="00CB405A">
        <w:rPr>
          <w:rFonts w:ascii="GHEA Grapalat" w:hAnsi="GHEA Grapalat"/>
          <w:sz w:val="24"/>
          <w:szCs w:val="24"/>
        </w:rPr>
        <w:t>ՀԱՍՏԱՏՎԱԾ Է</w:t>
      </w:r>
    </w:p>
    <w:p w:rsidR="005866FA" w:rsidRPr="00CB405A" w:rsidRDefault="008E4031" w:rsidP="00BD1230">
      <w:pPr>
        <w:pStyle w:val="Bodytext40"/>
        <w:shd w:val="clear" w:color="auto" w:fill="auto"/>
        <w:spacing w:before="0" w:after="160" w:line="360" w:lineRule="auto"/>
        <w:ind w:left="8505" w:right="-30"/>
        <w:jc w:val="center"/>
        <w:rPr>
          <w:rFonts w:ascii="GHEA Grapalat" w:hAnsi="GHEA Grapalat"/>
          <w:sz w:val="24"/>
          <w:szCs w:val="24"/>
        </w:rPr>
      </w:pPr>
      <w:r w:rsidRPr="00CB405A">
        <w:rPr>
          <w:rFonts w:ascii="GHEA Grapalat" w:hAnsi="GHEA Grapalat"/>
          <w:sz w:val="24"/>
          <w:szCs w:val="24"/>
        </w:rPr>
        <w:t>Եվրասիական տնտեսական հանձնաժողովի խորհրդի</w:t>
      </w:r>
      <w:r w:rsidR="00BD1230" w:rsidRPr="00CB405A">
        <w:rPr>
          <w:rFonts w:ascii="GHEA Grapalat" w:hAnsi="GHEA Grapalat"/>
          <w:sz w:val="24"/>
          <w:szCs w:val="24"/>
        </w:rPr>
        <w:t xml:space="preserve"> </w:t>
      </w:r>
      <w:r w:rsidRPr="00CB405A">
        <w:rPr>
          <w:rFonts w:ascii="GHEA Grapalat" w:hAnsi="GHEA Grapalat"/>
          <w:sz w:val="24"/>
          <w:szCs w:val="24"/>
        </w:rPr>
        <w:t xml:space="preserve">2015 թվականի </w:t>
      </w:r>
      <w:r w:rsidR="00BD1230" w:rsidRPr="00CB405A">
        <w:rPr>
          <w:rFonts w:ascii="GHEA Grapalat" w:hAnsi="GHEA Grapalat"/>
          <w:sz w:val="24"/>
          <w:szCs w:val="24"/>
        </w:rPr>
        <w:br/>
      </w:r>
      <w:r w:rsidRPr="00CB405A">
        <w:rPr>
          <w:rFonts w:ascii="GHEA Grapalat" w:hAnsi="GHEA Grapalat"/>
          <w:sz w:val="24"/>
          <w:szCs w:val="24"/>
        </w:rPr>
        <w:t>փետրվարի 4-ի թիվ 4 որոշմամբ</w:t>
      </w:r>
      <w:bookmarkStart w:id="0" w:name="_GoBack"/>
      <w:bookmarkEnd w:id="0"/>
    </w:p>
    <w:p w:rsidR="00F6789D" w:rsidRPr="00CB405A" w:rsidRDefault="00F6789D" w:rsidP="00BD1230">
      <w:pPr>
        <w:pStyle w:val="Bodytext40"/>
        <w:shd w:val="clear" w:color="auto" w:fill="auto"/>
        <w:spacing w:before="0" w:after="160" w:line="360" w:lineRule="auto"/>
        <w:ind w:left="10206" w:right="-30"/>
        <w:jc w:val="center"/>
        <w:rPr>
          <w:rFonts w:ascii="GHEA Grapalat" w:hAnsi="GHEA Grapalat"/>
          <w:sz w:val="24"/>
          <w:szCs w:val="24"/>
        </w:rPr>
      </w:pPr>
    </w:p>
    <w:p w:rsidR="005866FA" w:rsidRPr="00CB405A" w:rsidRDefault="008E4031" w:rsidP="00BD1230">
      <w:pPr>
        <w:pStyle w:val="Bodytext30"/>
        <w:shd w:val="clear" w:color="auto" w:fill="auto"/>
        <w:spacing w:after="160" w:line="360" w:lineRule="auto"/>
        <w:ind w:right="-30"/>
        <w:rPr>
          <w:rFonts w:ascii="GHEA Grapalat" w:hAnsi="GHEA Grapalat"/>
          <w:sz w:val="24"/>
          <w:szCs w:val="24"/>
        </w:rPr>
      </w:pPr>
      <w:r w:rsidRPr="00CB405A">
        <w:rPr>
          <w:rStyle w:val="Bodytext3Spacing2pt"/>
          <w:rFonts w:ascii="GHEA Grapalat" w:hAnsi="GHEA Grapalat"/>
          <w:b/>
          <w:spacing w:val="0"/>
          <w:sz w:val="24"/>
          <w:szCs w:val="24"/>
        </w:rPr>
        <w:t>2015 ԹՎԱԿԱՆԻ ՄԱՆՐԱՄԱՍՆԵՑՎԱԾ</w:t>
      </w:r>
      <w:r w:rsidRPr="00CB405A">
        <w:rPr>
          <w:rFonts w:ascii="GHEA Grapalat" w:hAnsi="GHEA Grapalat"/>
          <w:sz w:val="24"/>
          <w:szCs w:val="24"/>
        </w:rPr>
        <w:t xml:space="preserve"> </w:t>
      </w:r>
      <w:r w:rsidR="00645412" w:rsidRPr="00CB405A">
        <w:rPr>
          <w:rFonts w:ascii="GHEA Grapalat" w:hAnsi="GHEA Grapalat"/>
          <w:sz w:val="24"/>
          <w:szCs w:val="24"/>
        </w:rPr>
        <w:t>ՊԼԱՆ</w:t>
      </w:r>
    </w:p>
    <w:p w:rsidR="005866FA" w:rsidRPr="00CB405A" w:rsidRDefault="008E4031" w:rsidP="00BD1230">
      <w:pPr>
        <w:pStyle w:val="Bodytext30"/>
        <w:shd w:val="clear" w:color="auto" w:fill="auto"/>
        <w:spacing w:after="160" w:line="360" w:lineRule="auto"/>
        <w:ind w:right="-30"/>
        <w:rPr>
          <w:rFonts w:ascii="GHEA Grapalat" w:hAnsi="GHEA Grapalat"/>
          <w:sz w:val="24"/>
          <w:szCs w:val="24"/>
        </w:rPr>
      </w:pPr>
      <w:r w:rsidRPr="00CB405A">
        <w:rPr>
          <w:rFonts w:ascii="GHEA Grapalat" w:hAnsi="GHEA Grapalat"/>
          <w:sz w:val="24"/>
          <w:szCs w:val="24"/>
        </w:rPr>
        <w:t xml:space="preserve">Արտաքին տնտեսական գործունեության կարգավորման համակարգում «մեկ պատուհանի» մեխանիզմի զարգացման հիմնական ուղղությունների իրագործման միջոցառումների </w:t>
      </w:r>
      <w:r w:rsidR="000F1784" w:rsidRPr="00CB405A">
        <w:rPr>
          <w:rFonts w:ascii="GHEA Grapalat" w:hAnsi="GHEA Grapalat"/>
          <w:sz w:val="24"/>
          <w:szCs w:val="24"/>
        </w:rPr>
        <w:t>պլանի կատարման</w:t>
      </w:r>
    </w:p>
    <w:p w:rsidR="00F6789D" w:rsidRPr="00CB405A" w:rsidRDefault="00F6789D" w:rsidP="00204374">
      <w:pPr>
        <w:pStyle w:val="Bodytext30"/>
        <w:shd w:val="clear" w:color="auto" w:fill="auto"/>
        <w:spacing w:after="0" w:line="240" w:lineRule="auto"/>
        <w:ind w:left="140"/>
        <w:rPr>
          <w:rFonts w:ascii="GHEA Grapalat" w:hAnsi="GHEA Grapalat"/>
          <w:sz w:val="24"/>
          <w:szCs w:val="24"/>
        </w:rPr>
      </w:pPr>
    </w:p>
    <w:tbl>
      <w:tblPr>
        <w:tblOverlap w:val="never"/>
        <w:tblW w:w="15351" w:type="dxa"/>
        <w:jc w:val="center"/>
        <w:tblLayout w:type="fixed"/>
        <w:tblCellMar>
          <w:left w:w="10" w:type="dxa"/>
          <w:right w:w="10" w:type="dxa"/>
        </w:tblCellMar>
        <w:tblLook w:val="0000" w:firstRow="0" w:lastRow="0" w:firstColumn="0" w:lastColumn="0" w:noHBand="0" w:noVBand="0"/>
      </w:tblPr>
      <w:tblGrid>
        <w:gridCol w:w="6256"/>
        <w:gridCol w:w="2515"/>
        <w:gridCol w:w="3118"/>
        <w:gridCol w:w="3462"/>
      </w:tblGrid>
      <w:tr w:rsidR="005866FA" w:rsidRPr="00CB405A" w:rsidTr="000837C4">
        <w:trPr>
          <w:tblHeader/>
          <w:jc w:val="center"/>
        </w:trPr>
        <w:tc>
          <w:tcPr>
            <w:tcW w:w="6256" w:type="dxa"/>
            <w:tcBorders>
              <w:top w:val="single" w:sz="4" w:space="0" w:color="auto"/>
              <w:left w:val="single" w:sz="4" w:space="0" w:color="auto"/>
            </w:tcBorders>
            <w:shd w:val="clear" w:color="auto" w:fill="FFFFFF"/>
            <w:vAlign w:val="center"/>
          </w:tcPr>
          <w:p w:rsidR="005866FA" w:rsidRPr="00CB405A" w:rsidRDefault="008E4031" w:rsidP="00880282">
            <w:pPr>
              <w:pStyle w:val="Bodytext20"/>
              <w:shd w:val="clear" w:color="auto" w:fill="auto"/>
              <w:spacing w:before="0" w:after="120" w:line="240" w:lineRule="auto"/>
              <w:jc w:val="center"/>
              <w:rPr>
                <w:rFonts w:ascii="GHEA Grapalat" w:hAnsi="GHEA Grapalat"/>
                <w:sz w:val="24"/>
                <w:szCs w:val="24"/>
              </w:rPr>
            </w:pPr>
            <w:r w:rsidRPr="00CB405A">
              <w:rPr>
                <w:rStyle w:val="Bodytext215pt"/>
                <w:rFonts w:ascii="GHEA Grapalat" w:hAnsi="GHEA Grapalat"/>
                <w:sz w:val="24"/>
                <w:szCs w:val="24"/>
              </w:rPr>
              <w:t>Միջոցառման անվանումը</w:t>
            </w:r>
          </w:p>
        </w:tc>
        <w:tc>
          <w:tcPr>
            <w:tcW w:w="2515" w:type="dxa"/>
            <w:tcBorders>
              <w:top w:val="single" w:sz="4" w:space="0" w:color="auto"/>
              <w:left w:val="single" w:sz="4" w:space="0" w:color="auto"/>
            </w:tcBorders>
            <w:shd w:val="clear" w:color="auto" w:fill="FFFFFF"/>
            <w:vAlign w:val="center"/>
          </w:tcPr>
          <w:p w:rsidR="005866FA" w:rsidRPr="00CB405A" w:rsidRDefault="008E4031" w:rsidP="00880282">
            <w:pPr>
              <w:pStyle w:val="Bodytext20"/>
              <w:shd w:val="clear" w:color="auto" w:fill="auto"/>
              <w:spacing w:before="0" w:after="120" w:line="240" w:lineRule="auto"/>
              <w:ind w:left="217" w:right="190"/>
              <w:jc w:val="center"/>
              <w:rPr>
                <w:rFonts w:ascii="GHEA Grapalat" w:hAnsi="GHEA Grapalat"/>
                <w:sz w:val="24"/>
                <w:szCs w:val="24"/>
              </w:rPr>
            </w:pPr>
            <w:r w:rsidRPr="00CB405A">
              <w:rPr>
                <w:rStyle w:val="Bodytext215pt"/>
                <w:rFonts w:ascii="GHEA Grapalat" w:hAnsi="GHEA Grapalat"/>
                <w:sz w:val="24"/>
                <w:szCs w:val="24"/>
              </w:rPr>
              <w:t>Կատարման ժամկետը</w:t>
            </w:r>
          </w:p>
        </w:tc>
        <w:tc>
          <w:tcPr>
            <w:tcW w:w="3118" w:type="dxa"/>
            <w:tcBorders>
              <w:top w:val="single" w:sz="4" w:space="0" w:color="auto"/>
              <w:left w:val="single" w:sz="4" w:space="0" w:color="auto"/>
            </w:tcBorders>
            <w:shd w:val="clear" w:color="auto" w:fill="FFFFFF"/>
            <w:vAlign w:val="center"/>
          </w:tcPr>
          <w:p w:rsidR="005866FA" w:rsidRPr="00CB405A" w:rsidRDefault="008E4031" w:rsidP="00880282">
            <w:pPr>
              <w:pStyle w:val="Bodytext20"/>
              <w:shd w:val="clear" w:color="auto" w:fill="auto"/>
              <w:spacing w:before="0" w:after="120" w:line="240" w:lineRule="auto"/>
              <w:ind w:left="217" w:right="190"/>
              <w:jc w:val="center"/>
              <w:rPr>
                <w:rFonts w:ascii="GHEA Grapalat" w:hAnsi="GHEA Grapalat"/>
                <w:sz w:val="24"/>
                <w:szCs w:val="24"/>
              </w:rPr>
            </w:pPr>
            <w:r w:rsidRPr="00CB405A">
              <w:rPr>
                <w:rStyle w:val="Bodytext215pt"/>
                <w:rFonts w:ascii="GHEA Grapalat" w:hAnsi="GHEA Grapalat"/>
                <w:sz w:val="24"/>
                <w:szCs w:val="24"/>
              </w:rPr>
              <w:t>Պատասխանատու կատարող</w:t>
            </w:r>
            <w:r w:rsidR="006D7E61" w:rsidRPr="00CB405A">
              <w:rPr>
                <w:rStyle w:val="Bodytext215pt"/>
                <w:rFonts w:ascii="GHEA Grapalat" w:hAnsi="GHEA Grapalat"/>
                <w:sz w:val="24"/>
                <w:szCs w:val="24"/>
              </w:rPr>
              <w:t>ը</w:t>
            </w:r>
          </w:p>
        </w:tc>
        <w:tc>
          <w:tcPr>
            <w:tcW w:w="3462" w:type="dxa"/>
            <w:tcBorders>
              <w:top w:val="single" w:sz="4" w:space="0" w:color="auto"/>
              <w:left w:val="single" w:sz="4" w:space="0" w:color="auto"/>
              <w:right w:val="single" w:sz="4" w:space="0" w:color="auto"/>
            </w:tcBorders>
            <w:shd w:val="clear" w:color="auto" w:fill="FFFFFF"/>
            <w:vAlign w:val="center"/>
          </w:tcPr>
          <w:p w:rsidR="005866FA" w:rsidRPr="00CB405A" w:rsidRDefault="008E4031" w:rsidP="00880282">
            <w:pPr>
              <w:pStyle w:val="Bodytext20"/>
              <w:shd w:val="clear" w:color="auto" w:fill="auto"/>
              <w:spacing w:before="0" w:after="120" w:line="240" w:lineRule="auto"/>
              <w:ind w:left="357" w:right="349"/>
              <w:jc w:val="center"/>
              <w:rPr>
                <w:rFonts w:ascii="GHEA Grapalat" w:hAnsi="GHEA Grapalat"/>
                <w:sz w:val="24"/>
                <w:szCs w:val="24"/>
              </w:rPr>
            </w:pPr>
            <w:r w:rsidRPr="00CB405A">
              <w:rPr>
                <w:rStyle w:val="Bodytext215pt"/>
                <w:rFonts w:ascii="GHEA Grapalat" w:hAnsi="GHEA Grapalat"/>
                <w:sz w:val="24"/>
                <w:szCs w:val="24"/>
              </w:rPr>
              <w:t>Պլանավորվող արդյունքը</w:t>
            </w:r>
          </w:p>
        </w:tc>
      </w:tr>
      <w:tr w:rsidR="005866FA" w:rsidRPr="00CB405A" w:rsidTr="000837C4">
        <w:trPr>
          <w:tblHeader/>
          <w:jc w:val="center"/>
        </w:trPr>
        <w:tc>
          <w:tcPr>
            <w:tcW w:w="6256" w:type="dxa"/>
            <w:tcBorders>
              <w:top w:val="single" w:sz="4" w:space="0" w:color="auto"/>
              <w:left w:val="single" w:sz="4" w:space="0" w:color="auto"/>
            </w:tcBorders>
            <w:shd w:val="clear" w:color="auto" w:fill="FFFFFF"/>
            <w:vAlign w:val="center"/>
          </w:tcPr>
          <w:p w:rsidR="005866FA" w:rsidRPr="00CB405A" w:rsidRDefault="008E4031" w:rsidP="00880282">
            <w:pPr>
              <w:pStyle w:val="Bodytext20"/>
              <w:shd w:val="clear" w:color="auto" w:fill="auto"/>
              <w:spacing w:before="0" w:after="120" w:line="240" w:lineRule="auto"/>
              <w:jc w:val="center"/>
              <w:rPr>
                <w:rFonts w:ascii="GHEA Grapalat" w:hAnsi="GHEA Grapalat"/>
                <w:sz w:val="24"/>
                <w:szCs w:val="24"/>
              </w:rPr>
            </w:pPr>
            <w:r w:rsidRPr="00CB405A">
              <w:rPr>
                <w:rStyle w:val="Bodytext215pt"/>
                <w:rFonts w:ascii="GHEA Grapalat" w:hAnsi="GHEA Grapalat"/>
                <w:sz w:val="24"/>
                <w:szCs w:val="24"/>
              </w:rPr>
              <w:t>1</w:t>
            </w:r>
          </w:p>
        </w:tc>
        <w:tc>
          <w:tcPr>
            <w:tcW w:w="2515" w:type="dxa"/>
            <w:tcBorders>
              <w:top w:val="single" w:sz="4" w:space="0" w:color="auto"/>
              <w:left w:val="single" w:sz="4" w:space="0" w:color="auto"/>
            </w:tcBorders>
            <w:shd w:val="clear" w:color="auto" w:fill="FFFFFF"/>
            <w:vAlign w:val="center"/>
          </w:tcPr>
          <w:p w:rsidR="005866FA" w:rsidRPr="00CB405A" w:rsidRDefault="008E4031" w:rsidP="00880282">
            <w:pPr>
              <w:pStyle w:val="Bodytext20"/>
              <w:shd w:val="clear" w:color="auto" w:fill="auto"/>
              <w:spacing w:before="0" w:after="120" w:line="240" w:lineRule="auto"/>
              <w:jc w:val="center"/>
              <w:rPr>
                <w:rFonts w:ascii="GHEA Grapalat" w:hAnsi="GHEA Grapalat"/>
                <w:sz w:val="24"/>
                <w:szCs w:val="24"/>
              </w:rPr>
            </w:pPr>
            <w:r w:rsidRPr="00CB405A">
              <w:rPr>
                <w:rStyle w:val="Bodytext215pt"/>
                <w:rFonts w:ascii="GHEA Grapalat" w:hAnsi="GHEA Grapalat"/>
                <w:sz w:val="24"/>
                <w:szCs w:val="24"/>
              </w:rPr>
              <w:t>2</w:t>
            </w:r>
          </w:p>
        </w:tc>
        <w:tc>
          <w:tcPr>
            <w:tcW w:w="3118" w:type="dxa"/>
            <w:tcBorders>
              <w:top w:val="single" w:sz="4" w:space="0" w:color="auto"/>
              <w:left w:val="single" w:sz="4" w:space="0" w:color="auto"/>
            </w:tcBorders>
            <w:shd w:val="clear" w:color="auto" w:fill="FFFFFF"/>
            <w:vAlign w:val="center"/>
          </w:tcPr>
          <w:p w:rsidR="005866FA" w:rsidRPr="00CB405A" w:rsidRDefault="008E4031" w:rsidP="00880282">
            <w:pPr>
              <w:pStyle w:val="Bodytext20"/>
              <w:shd w:val="clear" w:color="auto" w:fill="auto"/>
              <w:spacing w:before="0" w:after="120" w:line="240" w:lineRule="auto"/>
              <w:jc w:val="center"/>
              <w:rPr>
                <w:rFonts w:ascii="GHEA Grapalat" w:hAnsi="GHEA Grapalat"/>
                <w:sz w:val="24"/>
                <w:szCs w:val="24"/>
              </w:rPr>
            </w:pPr>
            <w:r w:rsidRPr="00CB405A">
              <w:rPr>
                <w:rStyle w:val="Bodytext215pt"/>
                <w:rFonts w:ascii="GHEA Grapalat" w:hAnsi="GHEA Grapalat"/>
                <w:sz w:val="24"/>
                <w:szCs w:val="24"/>
              </w:rPr>
              <w:t>3</w:t>
            </w:r>
          </w:p>
        </w:tc>
        <w:tc>
          <w:tcPr>
            <w:tcW w:w="3462" w:type="dxa"/>
            <w:tcBorders>
              <w:top w:val="single" w:sz="4" w:space="0" w:color="auto"/>
              <w:left w:val="single" w:sz="4" w:space="0" w:color="auto"/>
              <w:right w:val="single" w:sz="4" w:space="0" w:color="auto"/>
            </w:tcBorders>
            <w:shd w:val="clear" w:color="auto" w:fill="FFFFFF"/>
            <w:vAlign w:val="center"/>
          </w:tcPr>
          <w:p w:rsidR="005866FA" w:rsidRPr="00CB405A" w:rsidRDefault="008E4031" w:rsidP="00880282">
            <w:pPr>
              <w:pStyle w:val="Bodytext20"/>
              <w:shd w:val="clear" w:color="auto" w:fill="auto"/>
              <w:spacing w:before="0" w:after="120" w:line="240" w:lineRule="auto"/>
              <w:jc w:val="center"/>
              <w:rPr>
                <w:rFonts w:ascii="GHEA Grapalat" w:hAnsi="GHEA Grapalat"/>
                <w:sz w:val="24"/>
                <w:szCs w:val="24"/>
              </w:rPr>
            </w:pPr>
            <w:r w:rsidRPr="00CB405A">
              <w:rPr>
                <w:rStyle w:val="Bodytext215pt"/>
                <w:rFonts w:ascii="GHEA Grapalat" w:hAnsi="GHEA Grapalat"/>
                <w:sz w:val="24"/>
                <w:szCs w:val="24"/>
              </w:rPr>
              <w:t>4</w:t>
            </w:r>
          </w:p>
        </w:tc>
      </w:tr>
      <w:tr w:rsidR="005866FA" w:rsidRPr="00CB405A" w:rsidTr="000837C4">
        <w:trPr>
          <w:jc w:val="center"/>
        </w:trPr>
        <w:tc>
          <w:tcPr>
            <w:tcW w:w="15351" w:type="dxa"/>
            <w:gridSpan w:val="4"/>
            <w:tcBorders>
              <w:top w:val="single" w:sz="4" w:space="0" w:color="auto"/>
            </w:tcBorders>
            <w:shd w:val="clear" w:color="auto" w:fill="FFFFFF"/>
          </w:tcPr>
          <w:p w:rsidR="005866FA" w:rsidRPr="00CB405A" w:rsidRDefault="008E4031" w:rsidP="00880282">
            <w:pPr>
              <w:pStyle w:val="Bodytext20"/>
              <w:shd w:val="clear" w:color="auto" w:fill="auto"/>
              <w:spacing w:before="0" w:after="120" w:line="240" w:lineRule="auto"/>
              <w:jc w:val="center"/>
              <w:rPr>
                <w:rFonts w:ascii="GHEA Grapalat" w:hAnsi="GHEA Grapalat"/>
                <w:sz w:val="24"/>
                <w:szCs w:val="24"/>
              </w:rPr>
            </w:pPr>
            <w:r w:rsidRPr="00CB405A">
              <w:rPr>
                <w:rStyle w:val="Bodytext215pt"/>
                <w:rFonts w:ascii="GHEA Grapalat" w:hAnsi="GHEA Grapalat"/>
                <w:sz w:val="24"/>
                <w:szCs w:val="24"/>
              </w:rPr>
              <w:t>1</w:t>
            </w:r>
            <w:r w:rsidR="005D5748" w:rsidRPr="00CB405A">
              <w:rPr>
                <w:rStyle w:val="Bodytext215pt"/>
                <w:rFonts w:ascii="GHEA Grapalat" w:hAnsi="GHEA Grapalat"/>
                <w:sz w:val="24"/>
                <w:szCs w:val="24"/>
              </w:rPr>
              <w:t>. «Մեկ պատուհանի» ազգային մեխանիզմների զարգացում</w:t>
            </w:r>
          </w:p>
        </w:tc>
      </w:tr>
      <w:tr w:rsidR="005866FA" w:rsidRPr="00CB405A" w:rsidTr="000837C4">
        <w:trPr>
          <w:jc w:val="center"/>
        </w:trPr>
        <w:tc>
          <w:tcPr>
            <w:tcW w:w="6256" w:type="dxa"/>
            <w:shd w:val="clear" w:color="auto" w:fill="FFFFFF"/>
          </w:tcPr>
          <w:p w:rsidR="005866FA" w:rsidRPr="00CB405A" w:rsidRDefault="008E403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 xml:space="preserve">1.1. Անդամ պետությունների օրենսդրության մեջ </w:t>
            </w:r>
            <w:r w:rsidR="00BD1230" w:rsidRPr="00CB405A">
              <w:rPr>
                <w:rStyle w:val="Bodytext215pt"/>
                <w:rFonts w:ascii="GHEA Grapalat" w:hAnsi="GHEA Grapalat"/>
                <w:sz w:val="24"/>
                <w:szCs w:val="24"/>
              </w:rPr>
              <w:t>եւ</w:t>
            </w:r>
            <w:r w:rsidRPr="00CB405A">
              <w:rPr>
                <w:rStyle w:val="Bodytext215pt"/>
                <w:rFonts w:ascii="GHEA Grapalat" w:hAnsi="GHEA Grapalat"/>
                <w:sz w:val="24"/>
                <w:szCs w:val="24"/>
              </w:rPr>
              <w:t xml:space="preserve"> միջազգային </w:t>
            </w:r>
            <w:r w:rsidR="001735D2" w:rsidRPr="00CB405A">
              <w:rPr>
                <w:rStyle w:val="Bodytext215pt"/>
                <w:rFonts w:ascii="GHEA Grapalat" w:hAnsi="GHEA Grapalat"/>
                <w:sz w:val="24"/>
                <w:szCs w:val="24"/>
              </w:rPr>
              <w:t xml:space="preserve">փորձում </w:t>
            </w:r>
            <w:r w:rsidRPr="00CB405A">
              <w:rPr>
                <w:rStyle w:val="Bodytext215pt"/>
                <w:rFonts w:ascii="GHEA Grapalat" w:hAnsi="GHEA Grapalat"/>
                <w:sz w:val="24"/>
                <w:szCs w:val="24"/>
              </w:rPr>
              <w:t>«</w:t>
            </w:r>
            <w:r w:rsidR="00AC6C72" w:rsidRPr="00CB405A">
              <w:rPr>
                <w:rStyle w:val="Bodytext215pt"/>
                <w:rFonts w:ascii="GHEA Grapalat" w:hAnsi="GHEA Grapalat"/>
                <w:sz w:val="24"/>
                <w:szCs w:val="24"/>
              </w:rPr>
              <w:t>մ</w:t>
            </w:r>
            <w:r w:rsidRPr="00CB405A">
              <w:rPr>
                <w:rStyle w:val="Bodytext215pt"/>
                <w:rFonts w:ascii="GHEA Grapalat" w:hAnsi="GHEA Grapalat"/>
                <w:sz w:val="24"/>
                <w:szCs w:val="24"/>
              </w:rPr>
              <w:t>եկ պատուհանի» մեխանիզմի նկարագրում օգտագործվող եզրույթների համեմատում</w:t>
            </w:r>
          </w:p>
        </w:tc>
        <w:tc>
          <w:tcPr>
            <w:tcW w:w="2515" w:type="dxa"/>
            <w:shd w:val="clear" w:color="auto" w:fill="FFFFFF"/>
          </w:tcPr>
          <w:p w:rsidR="005866FA" w:rsidRPr="00CB405A" w:rsidRDefault="008E403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II եռամսյակ</w:t>
            </w:r>
          </w:p>
        </w:tc>
        <w:tc>
          <w:tcPr>
            <w:tcW w:w="3118" w:type="dxa"/>
            <w:shd w:val="clear" w:color="auto" w:fill="FFFFFF"/>
          </w:tcPr>
          <w:p w:rsidR="00204374" w:rsidRPr="00CB405A" w:rsidRDefault="008E403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Եվրասիական տնտեսական հանձնաժողովը (այսուհետ՝ Հանձնաժողով), Եվրասիական տնտեսական միության անդամ պետություններ (այսուհետ՝ անդամ պետություններ)</w:t>
            </w:r>
          </w:p>
        </w:tc>
        <w:tc>
          <w:tcPr>
            <w:tcW w:w="3462" w:type="dxa"/>
            <w:shd w:val="clear" w:color="auto" w:fill="FFFFFF"/>
          </w:tcPr>
          <w:p w:rsidR="005866FA" w:rsidRPr="00CB405A" w:rsidRDefault="008E403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համեմատական աղյուսակ</w:t>
            </w: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left="140"/>
              <w:jc w:val="left"/>
              <w:rPr>
                <w:rFonts w:ascii="GHEA Grapalat" w:hAnsi="GHEA Grapalat"/>
                <w:sz w:val="24"/>
                <w:szCs w:val="24"/>
              </w:rPr>
            </w:pPr>
            <w:r w:rsidRPr="00CB405A">
              <w:rPr>
                <w:rStyle w:val="Bodytext215pt"/>
                <w:rFonts w:ascii="GHEA Grapalat" w:hAnsi="GHEA Grapalat"/>
                <w:sz w:val="24"/>
                <w:szCs w:val="24"/>
              </w:rPr>
              <w:lastRenderedPageBreak/>
              <w:t>1.2. Արտաքին տնտեսական գործունեության հետ կապված պետական ընթացակարգերի եւ բիզնես գործընթացների մոդելավորման ու վերլուծության վերաբերյալ անդամ պետությունների մոտեցումների համաձայնեցում</w:t>
            </w:r>
          </w:p>
        </w:tc>
        <w:tc>
          <w:tcPr>
            <w:tcW w:w="2515" w:type="dxa"/>
            <w:shd w:val="clear" w:color="auto" w:fill="FFFFFF"/>
          </w:tcPr>
          <w:p w:rsidR="00204374" w:rsidRPr="00CB405A" w:rsidRDefault="00204374" w:rsidP="00880282">
            <w:pPr>
              <w:spacing w:after="120"/>
              <w:rPr>
                <w:rFonts w:ascii="GHEA Grapalat" w:hAnsi="GHEA Grapalat"/>
              </w:rPr>
            </w:pPr>
          </w:p>
        </w:tc>
        <w:tc>
          <w:tcPr>
            <w:tcW w:w="3118" w:type="dxa"/>
            <w:shd w:val="clear" w:color="auto" w:fill="FFFFFF"/>
          </w:tcPr>
          <w:p w:rsidR="00204374" w:rsidRPr="00CB405A" w:rsidRDefault="00204374" w:rsidP="00880282">
            <w:pPr>
              <w:spacing w:after="120"/>
              <w:rPr>
                <w:rFonts w:ascii="GHEA Grapalat" w:hAnsi="GHEA Grapalat"/>
              </w:rPr>
            </w:pPr>
          </w:p>
        </w:tc>
        <w:tc>
          <w:tcPr>
            <w:tcW w:w="3462" w:type="dxa"/>
            <w:shd w:val="clear" w:color="auto" w:fill="FFFFFF"/>
          </w:tcPr>
          <w:p w:rsidR="00204374" w:rsidRPr="00CB405A" w:rsidRDefault="00204374" w:rsidP="00880282">
            <w:pPr>
              <w:spacing w:after="120"/>
              <w:rPr>
                <w:rFonts w:ascii="GHEA Grapalat" w:hAnsi="GHEA Grapalat"/>
              </w:rPr>
            </w:pP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left="599" w:right="187"/>
              <w:jc w:val="left"/>
              <w:rPr>
                <w:rFonts w:ascii="GHEA Grapalat" w:hAnsi="GHEA Grapalat"/>
                <w:sz w:val="24"/>
                <w:szCs w:val="24"/>
              </w:rPr>
            </w:pPr>
            <w:r w:rsidRPr="00CB405A">
              <w:rPr>
                <w:rStyle w:val="Bodytext215pt"/>
                <w:rFonts w:ascii="GHEA Grapalat" w:hAnsi="GHEA Grapalat"/>
                <w:sz w:val="24"/>
                <w:szCs w:val="24"/>
              </w:rPr>
              <w:t>1.2.1. Արտաքին տնտեսական գործունեության հետ կապված պետական ընթացակարգերի եւ բիզնես գործընթացների վերլուծության վերաբերյալ մոտեցումների, այդ թվում՝ անդամ պետություններում համապատասխան մեթոդիկաների եւ ձեռնարկների ուսումնասիրություն (առկայության դեպքում)</w:t>
            </w:r>
          </w:p>
        </w:tc>
        <w:tc>
          <w:tcPr>
            <w:tcW w:w="2515"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ապրիլ</w:t>
            </w:r>
          </w:p>
        </w:tc>
        <w:tc>
          <w:tcPr>
            <w:tcW w:w="3118"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204374" w:rsidRPr="00CB405A" w:rsidRDefault="00204374" w:rsidP="00880282">
            <w:pPr>
              <w:pStyle w:val="Bodytext20"/>
              <w:shd w:val="clear" w:color="auto" w:fill="auto"/>
              <w:spacing w:before="0" w:after="120" w:line="240" w:lineRule="auto"/>
              <w:rPr>
                <w:rFonts w:ascii="GHEA Grapalat" w:hAnsi="GHEA Grapalat"/>
                <w:sz w:val="24"/>
                <w:szCs w:val="24"/>
              </w:rPr>
            </w:pPr>
            <w:r w:rsidRPr="00CB405A">
              <w:rPr>
                <w:rStyle w:val="Bodytext215pt"/>
                <w:rFonts w:ascii="GHEA Grapalat" w:hAnsi="GHEA Grapalat"/>
                <w:sz w:val="24"/>
                <w:szCs w:val="24"/>
              </w:rPr>
              <w:t>հաշվետվություն</w:t>
            </w: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left="599" w:right="187"/>
              <w:jc w:val="left"/>
              <w:rPr>
                <w:rFonts w:ascii="GHEA Grapalat" w:hAnsi="GHEA Grapalat"/>
                <w:sz w:val="24"/>
                <w:szCs w:val="24"/>
              </w:rPr>
            </w:pPr>
            <w:r w:rsidRPr="00CB405A">
              <w:rPr>
                <w:rStyle w:val="Bodytext215pt"/>
                <w:rFonts w:ascii="GHEA Grapalat" w:hAnsi="GHEA Grapalat"/>
                <w:sz w:val="24"/>
                <w:szCs w:val="24"/>
              </w:rPr>
              <w:t>1.2.2. Արտաքին տնտեսական գործունեության հետ կապված պետական ընթացակարգերի եւ բիզնես գործընթացների մոդելավորման ու վերլուծության վերաբերյալ ուսուցողական սեմինարի անցկացում՝ Հանձնաժողովի եւ անդամ պետությունների փորձագետների մասնակցությամբ</w:t>
            </w:r>
          </w:p>
        </w:tc>
        <w:tc>
          <w:tcPr>
            <w:tcW w:w="2515"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մայիս-հունիս</w:t>
            </w:r>
          </w:p>
        </w:tc>
        <w:tc>
          <w:tcPr>
            <w:tcW w:w="3118"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ՄԱԿ-ի Եվրոպական տնտեսական հանձնաժողով, անդամ պետություններ</w:t>
            </w:r>
          </w:p>
        </w:tc>
        <w:tc>
          <w:tcPr>
            <w:tcW w:w="3462" w:type="dxa"/>
            <w:shd w:val="clear" w:color="auto" w:fill="FFFFFF"/>
          </w:tcPr>
          <w:p w:rsidR="00204374" w:rsidRPr="00CB405A" w:rsidRDefault="00204374" w:rsidP="00880282">
            <w:pPr>
              <w:pStyle w:val="Bodytext20"/>
              <w:shd w:val="clear" w:color="auto" w:fill="auto"/>
              <w:spacing w:before="0" w:after="120" w:line="240" w:lineRule="auto"/>
              <w:rPr>
                <w:rFonts w:ascii="GHEA Grapalat" w:hAnsi="GHEA Grapalat"/>
                <w:sz w:val="24"/>
                <w:szCs w:val="24"/>
              </w:rPr>
            </w:pPr>
            <w:r w:rsidRPr="00CB405A">
              <w:rPr>
                <w:rStyle w:val="Bodytext215pt"/>
                <w:rFonts w:ascii="GHEA Grapalat" w:hAnsi="GHEA Grapalat"/>
                <w:sz w:val="24"/>
                <w:szCs w:val="24"/>
              </w:rPr>
              <w:t>սեմինարի անցկացում</w:t>
            </w: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left="140"/>
              <w:jc w:val="left"/>
              <w:rPr>
                <w:rFonts w:ascii="GHEA Grapalat" w:hAnsi="GHEA Grapalat"/>
                <w:sz w:val="24"/>
                <w:szCs w:val="24"/>
              </w:rPr>
            </w:pPr>
            <w:r w:rsidRPr="00CB405A">
              <w:rPr>
                <w:rStyle w:val="Bodytext215pt"/>
                <w:rFonts w:ascii="GHEA Grapalat" w:hAnsi="GHEA Grapalat"/>
                <w:sz w:val="24"/>
                <w:szCs w:val="24"/>
              </w:rPr>
              <w:t>1.3. «Մեկ պատուհանի» ազգային մեխանիզմների զարգացման վիճակի գնահատման մեթոդիկայի մշակում</w:t>
            </w:r>
          </w:p>
        </w:tc>
        <w:tc>
          <w:tcPr>
            <w:tcW w:w="2515" w:type="dxa"/>
            <w:shd w:val="clear" w:color="auto" w:fill="FFFFFF"/>
          </w:tcPr>
          <w:p w:rsidR="00204374" w:rsidRPr="00CB405A" w:rsidRDefault="00204374" w:rsidP="00880282">
            <w:pPr>
              <w:spacing w:after="120"/>
              <w:rPr>
                <w:rFonts w:ascii="GHEA Grapalat" w:hAnsi="GHEA Grapalat"/>
              </w:rPr>
            </w:pPr>
          </w:p>
        </w:tc>
        <w:tc>
          <w:tcPr>
            <w:tcW w:w="3118" w:type="dxa"/>
            <w:shd w:val="clear" w:color="auto" w:fill="FFFFFF"/>
          </w:tcPr>
          <w:p w:rsidR="00204374" w:rsidRPr="00CB405A" w:rsidRDefault="00204374" w:rsidP="00880282">
            <w:pPr>
              <w:spacing w:after="120"/>
              <w:rPr>
                <w:rFonts w:ascii="GHEA Grapalat" w:hAnsi="GHEA Grapalat"/>
              </w:rPr>
            </w:pPr>
          </w:p>
        </w:tc>
        <w:tc>
          <w:tcPr>
            <w:tcW w:w="3462" w:type="dxa"/>
            <w:shd w:val="clear" w:color="auto" w:fill="FFFFFF"/>
          </w:tcPr>
          <w:p w:rsidR="00204374" w:rsidRPr="00CB405A" w:rsidRDefault="00204374" w:rsidP="00880282">
            <w:pPr>
              <w:spacing w:after="120"/>
              <w:rPr>
                <w:rFonts w:ascii="GHEA Grapalat" w:hAnsi="GHEA Grapalat"/>
              </w:rPr>
            </w:pP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left="600"/>
              <w:jc w:val="left"/>
              <w:rPr>
                <w:rFonts w:ascii="GHEA Grapalat" w:hAnsi="GHEA Grapalat"/>
                <w:sz w:val="24"/>
                <w:szCs w:val="24"/>
              </w:rPr>
            </w:pPr>
            <w:r w:rsidRPr="00CB405A">
              <w:rPr>
                <w:rStyle w:val="Bodytext215pt"/>
                <w:rFonts w:ascii="GHEA Grapalat" w:hAnsi="GHEA Grapalat"/>
                <w:sz w:val="24"/>
                <w:szCs w:val="24"/>
              </w:rPr>
              <w:lastRenderedPageBreak/>
              <w:t>1.3.1. «Մեկ պատուհանի» ազգային մեխանիզմների զարգացման վիճակի գնահատման համար օբյեկտի (օբյեկտների) սահմանում</w:t>
            </w:r>
          </w:p>
        </w:tc>
        <w:tc>
          <w:tcPr>
            <w:tcW w:w="2515"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մայիս</w:t>
            </w:r>
          </w:p>
        </w:tc>
        <w:tc>
          <w:tcPr>
            <w:tcW w:w="3118"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հաշվի է առնվում գնահատման մեթոդիկայում</w:t>
            </w: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left="620" w:right="174"/>
              <w:jc w:val="left"/>
              <w:rPr>
                <w:rFonts w:ascii="GHEA Grapalat" w:hAnsi="GHEA Grapalat"/>
                <w:sz w:val="24"/>
                <w:szCs w:val="24"/>
              </w:rPr>
            </w:pPr>
            <w:r w:rsidRPr="00CB405A">
              <w:rPr>
                <w:rStyle w:val="Bodytext215pt"/>
                <w:rFonts w:ascii="GHEA Grapalat" w:hAnsi="GHEA Grapalat"/>
                <w:sz w:val="24"/>
                <w:szCs w:val="24"/>
              </w:rPr>
              <w:t>1.3.2. Արտահանման, ներմուծման եւ տարանցման առաջնահերթ գործառնությունների ցանկի սահմանում՝ «մեկ պատուհանի» ազգային մեխանիզմների զարգացման վիճակը գնահատելու նպատակով</w:t>
            </w:r>
          </w:p>
        </w:tc>
        <w:tc>
          <w:tcPr>
            <w:tcW w:w="2515" w:type="dxa"/>
            <w:shd w:val="clear" w:color="auto" w:fill="FFFFFF"/>
          </w:tcPr>
          <w:p w:rsidR="00204374" w:rsidRPr="00CB405A" w:rsidRDefault="00204374" w:rsidP="00880282">
            <w:pPr>
              <w:pStyle w:val="Bodytext20"/>
              <w:shd w:val="clear" w:color="auto" w:fill="auto"/>
              <w:spacing w:before="0" w:after="120" w:line="240" w:lineRule="auto"/>
              <w:ind w:left="140"/>
              <w:jc w:val="left"/>
              <w:rPr>
                <w:rFonts w:ascii="GHEA Grapalat" w:hAnsi="GHEA Grapalat"/>
                <w:sz w:val="24"/>
                <w:szCs w:val="24"/>
              </w:rPr>
            </w:pPr>
            <w:r w:rsidRPr="00CB405A">
              <w:rPr>
                <w:rStyle w:val="Bodytext215pt"/>
                <w:rFonts w:ascii="GHEA Grapalat" w:hAnsi="GHEA Grapalat"/>
                <w:sz w:val="24"/>
                <w:szCs w:val="24"/>
              </w:rPr>
              <w:t>2015 թվականի հուլիս-օգոստոս</w:t>
            </w:r>
          </w:p>
        </w:tc>
        <w:tc>
          <w:tcPr>
            <w:tcW w:w="3118"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հաշվի է առնվում գնահատման մեթոդիկայում</w:t>
            </w: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left="620" w:right="174"/>
              <w:jc w:val="left"/>
              <w:rPr>
                <w:rFonts w:ascii="GHEA Grapalat" w:hAnsi="GHEA Grapalat"/>
                <w:sz w:val="24"/>
                <w:szCs w:val="24"/>
              </w:rPr>
            </w:pPr>
            <w:r w:rsidRPr="00CB405A">
              <w:rPr>
                <w:rStyle w:val="Bodytext215pt"/>
                <w:rFonts w:ascii="GHEA Grapalat" w:hAnsi="GHEA Grapalat"/>
                <w:sz w:val="24"/>
                <w:szCs w:val="24"/>
              </w:rPr>
              <w:t>1.3.3. Արտաքին տնտեսական գործունեության կարգավորման ոլորտների ցանկի սահմանում՝ «մեկ պատուհանի» ազգային մեխանիզմների զարգացման վիճակը գնահատելու նպատակով</w:t>
            </w:r>
          </w:p>
        </w:tc>
        <w:tc>
          <w:tcPr>
            <w:tcW w:w="2515" w:type="dxa"/>
            <w:shd w:val="clear" w:color="auto" w:fill="FFFFFF"/>
          </w:tcPr>
          <w:p w:rsidR="00204374" w:rsidRPr="00CB405A" w:rsidRDefault="00204374" w:rsidP="00880282">
            <w:pPr>
              <w:pStyle w:val="Bodytext20"/>
              <w:shd w:val="clear" w:color="auto" w:fill="auto"/>
              <w:spacing w:before="0" w:after="120" w:line="240" w:lineRule="auto"/>
              <w:ind w:left="140"/>
              <w:jc w:val="left"/>
              <w:rPr>
                <w:rFonts w:ascii="GHEA Grapalat" w:hAnsi="GHEA Grapalat"/>
                <w:sz w:val="24"/>
                <w:szCs w:val="24"/>
              </w:rPr>
            </w:pPr>
            <w:r w:rsidRPr="00CB405A">
              <w:rPr>
                <w:rStyle w:val="Bodytext215pt"/>
                <w:rFonts w:ascii="GHEA Grapalat" w:hAnsi="GHEA Grapalat"/>
                <w:sz w:val="24"/>
                <w:szCs w:val="24"/>
              </w:rPr>
              <w:t>2015 թվականի հունիս</w:t>
            </w:r>
          </w:p>
        </w:tc>
        <w:tc>
          <w:tcPr>
            <w:tcW w:w="3118"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բիզնես գործընթացների համախմբերի մատրիցա (հաշվի է առնվում գնահատման մեթոդիկայում)</w:t>
            </w: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left="620" w:right="174"/>
              <w:jc w:val="left"/>
              <w:rPr>
                <w:rFonts w:ascii="GHEA Grapalat" w:hAnsi="GHEA Grapalat"/>
                <w:sz w:val="24"/>
                <w:szCs w:val="24"/>
              </w:rPr>
            </w:pPr>
            <w:r w:rsidRPr="00CB405A">
              <w:rPr>
                <w:rStyle w:val="Bodytext215pt"/>
                <w:rFonts w:ascii="GHEA Grapalat" w:hAnsi="GHEA Grapalat"/>
                <w:sz w:val="24"/>
                <w:szCs w:val="24"/>
              </w:rPr>
              <w:t>1.3.4. «Մեկ պատուհանի» ազգային մեխանիզմների զարգացման վիճակի գնահատման մեթոդիկայի հաստատում</w:t>
            </w:r>
          </w:p>
        </w:tc>
        <w:tc>
          <w:tcPr>
            <w:tcW w:w="2515" w:type="dxa"/>
            <w:shd w:val="clear" w:color="auto" w:fill="FFFFFF"/>
          </w:tcPr>
          <w:p w:rsidR="00204374" w:rsidRPr="00CB405A" w:rsidRDefault="00204374" w:rsidP="00880282">
            <w:pPr>
              <w:pStyle w:val="Bodytext20"/>
              <w:shd w:val="clear" w:color="auto" w:fill="auto"/>
              <w:spacing w:before="0" w:after="120" w:line="240" w:lineRule="auto"/>
              <w:ind w:left="140"/>
              <w:jc w:val="left"/>
              <w:rPr>
                <w:rFonts w:ascii="GHEA Grapalat" w:hAnsi="GHEA Grapalat"/>
                <w:sz w:val="24"/>
                <w:szCs w:val="24"/>
              </w:rPr>
            </w:pPr>
            <w:r w:rsidRPr="00CB405A">
              <w:rPr>
                <w:rStyle w:val="Bodytext215pt"/>
                <w:rFonts w:ascii="GHEA Grapalat" w:hAnsi="GHEA Grapalat"/>
                <w:sz w:val="24"/>
                <w:szCs w:val="24"/>
              </w:rPr>
              <w:t>2015 թվականի սեպտեմբեր</w:t>
            </w:r>
          </w:p>
        </w:tc>
        <w:tc>
          <w:tcPr>
            <w:tcW w:w="3118"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w:t>
            </w:r>
          </w:p>
        </w:tc>
        <w:tc>
          <w:tcPr>
            <w:tcW w:w="3462"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 xml:space="preserve">Եվրասիական տնտեսական միության (այսուհետ՝ Միություն) մարմնի ակտ </w:t>
            </w: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right="174"/>
              <w:rPr>
                <w:rFonts w:ascii="GHEA Grapalat" w:hAnsi="GHEA Grapalat"/>
                <w:sz w:val="24"/>
                <w:szCs w:val="24"/>
              </w:rPr>
            </w:pPr>
            <w:r w:rsidRPr="00CB405A">
              <w:rPr>
                <w:rStyle w:val="Bodytext215pt"/>
                <w:rFonts w:ascii="GHEA Grapalat" w:hAnsi="GHEA Grapalat"/>
                <w:sz w:val="24"/>
                <w:szCs w:val="24"/>
              </w:rPr>
              <w:t>1.4. «Մեկ պատուհանի» ազգային մեխանիզմների զարգացման վիճակի վերլուծության իրականացում՝ մշակված մեթոդիկային համապատասխան</w:t>
            </w:r>
          </w:p>
        </w:tc>
        <w:tc>
          <w:tcPr>
            <w:tcW w:w="2515" w:type="dxa"/>
            <w:shd w:val="clear" w:color="auto" w:fill="FFFFFF"/>
          </w:tcPr>
          <w:p w:rsidR="00204374" w:rsidRPr="00CB405A" w:rsidRDefault="00204374" w:rsidP="00880282">
            <w:pPr>
              <w:spacing w:after="120"/>
              <w:rPr>
                <w:rFonts w:ascii="GHEA Grapalat" w:hAnsi="GHEA Grapalat"/>
              </w:rPr>
            </w:pPr>
          </w:p>
        </w:tc>
        <w:tc>
          <w:tcPr>
            <w:tcW w:w="3118" w:type="dxa"/>
            <w:shd w:val="clear" w:color="auto" w:fill="FFFFFF"/>
          </w:tcPr>
          <w:p w:rsidR="00204374" w:rsidRPr="00CB405A" w:rsidRDefault="00204374" w:rsidP="00880282">
            <w:pPr>
              <w:spacing w:after="120"/>
              <w:rPr>
                <w:rFonts w:ascii="GHEA Grapalat" w:hAnsi="GHEA Grapalat"/>
              </w:rPr>
            </w:pPr>
          </w:p>
        </w:tc>
        <w:tc>
          <w:tcPr>
            <w:tcW w:w="3462" w:type="dxa"/>
            <w:shd w:val="clear" w:color="auto" w:fill="FFFFFF"/>
          </w:tcPr>
          <w:p w:rsidR="00204374" w:rsidRPr="00CB405A" w:rsidRDefault="00204374" w:rsidP="00880282">
            <w:pPr>
              <w:spacing w:after="120"/>
              <w:rPr>
                <w:rFonts w:ascii="GHEA Grapalat" w:hAnsi="GHEA Grapalat"/>
              </w:rPr>
            </w:pP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left="620" w:right="174"/>
              <w:jc w:val="left"/>
              <w:rPr>
                <w:rFonts w:ascii="GHEA Grapalat" w:hAnsi="GHEA Grapalat"/>
                <w:sz w:val="24"/>
                <w:szCs w:val="24"/>
              </w:rPr>
            </w:pPr>
            <w:r w:rsidRPr="00CB405A">
              <w:rPr>
                <w:rStyle w:val="Bodytext215pt"/>
                <w:rFonts w:ascii="GHEA Grapalat" w:hAnsi="GHEA Grapalat"/>
                <w:sz w:val="24"/>
                <w:szCs w:val="24"/>
              </w:rPr>
              <w:t xml:space="preserve">1.4.1. «Մեկ պատուհանի» ազգային մեխանիզմների ներդրման եւ զարգացման վերաբերյալ անդամ պետությունների նորմատիվ </w:t>
            </w:r>
            <w:r w:rsidRPr="00CB405A">
              <w:rPr>
                <w:rStyle w:val="Bodytext215pt"/>
                <w:rFonts w:ascii="GHEA Grapalat" w:hAnsi="GHEA Grapalat"/>
                <w:sz w:val="24"/>
                <w:szCs w:val="24"/>
              </w:rPr>
              <w:lastRenderedPageBreak/>
              <w:t>իրավական ակտերի վերլուծության իրականացում</w:t>
            </w:r>
          </w:p>
        </w:tc>
        <w:tc>
          <w:tcPr>
            <w:tcW w:w="2515" w:type="dxa"/>
            <w:shd w:val="clear" w:color="auto" w:fill="FFFFFF"/>
          </w:tcPr>
          <w:p w:rsidR="00204374" w:rsidRPr="00CB405A" w:rsidRDefault="00204374" w:rsidP="00880282">
            <w:pPr>
              <w:pStyle w:val="Bodytext20"/>
              <w:shd w:val="clear" w:color="auto" w:fill="auto"/>
              <w:spacing w:before="0" w:after="120" w:line="240" w:lineRule="auto"/>
              <w:ind w:left="140"/>
              <w:jc w:val="left"/>
              <w:rPr>
                <w:rFonts w:ascii="GHEA Grapalat" w:hAnsi="GHEA Grapalat"/>
                <w:sz w:val="24"/>
                <w:szCs w:val="24"/>
              </w:rPr>
            </w:pPr>
            <w:r w:rsidRPr="00CB405A">
              <w:rPr>
                <w:rStyle w:val="Bodytext215pt"/>
                <w:rFonts w:ascii="GHEA Grapalat" w:hAnsi="GHEA Grapalat"/>
                <w:sz w:val="24"/>
                <w:szCs w:val="24"/>
              </w:rPr>
              <w:lastRenderedPageBreak/>
              <w:t>2015 թվականի դեկտեմբեր</w:t>
            </w:r>
          </w:p>
        </w:tc>
        <w:tc>
          <w:tcPr>
            <w:tcW w:w="3118"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հաշվետվություն</w:t>
            </w: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left="620" w:right="174"/>
              <w:jc w:val="left"/>
              <w:rPr>
                <w:rFonts w:ascii="GHEA Grapalat" w:hAnsi="GHEA Grapalat"/>
                <w:sz w:val="24"/>
                <w:szCs w:val="24"/>
              </w:rPr>
            </w:pPr>
            <w:r w:rsidRPr="00CB405A">
              <w:rPr>
                <w:rStyle w:val="Bodytext215pt"/>
                <w:rFonts w:ascii="GHEA Grapalat" w:hAnsi="GHEA Grapalat"/>
                <w:sz w:val="24"/>
                <w:szCs w:val="24"/>
              </w:rPr>
              <w:lastRenderedPageBreak/>
              <w:t xml:space="preserve">1.4.2. Անդամ պետություններում «մեկ պատուհանի» ազգային մեխանիզմների ընդգրկման ոլորտի վերլուծություն </w:t>
            </w:r>
          </w:p>
        </w:tc>
        <w:tc>
          <w:tcPr>
            <w:tcW w:w="2515" w:type="dxa"/>
            <w:shd w:val="clear" w:color="auto" w:fill="FFFFFF"/>
          </w:tcPr>
          <w:p w:rsidR="00204374" w:rsidRPr="00CB405A" w:rsidRDefault="00204374" w:rsidP="00880282">
            <w:pPr>
              <w:pStyle w:val="Bodytext20"/>
              <w:shd w:val="clear" w:color="auto" w:fill="auto"/>
              <w:spacing w:before="0" w:after="120" w:line="240" w:lineRule="auto"/>
              <w:ind w:left="140"/>
              <w:jc w:val="left"/>
              <w:rPr>
                <w:rFonts w:ascii="GHEA Grapalat" w:hAnsi="GHEA Grapalat"/>
                <w:sz w:val="24"/>
                <w:szCs w:val="24"/>
              </w:rPr>
            </w:pPr>
            <w:r w:rsidRPr="00CB405A">
              <w:rPr>
                <w:rStyle w:val="Bodytext215pt"/>
                <w:rFonts w:ascii="GHEA Grapalat" w:hAnsi="GHEA Grapalat"/>
                <w:sz w:val="24"/>
                <w:szCs w:val="24"/>
              </w:rPr>
              <w:t>2015 թվականի դեկտեմբեր</w:t>
            </w:r>
          </w:p>
        </w:tc>
        <w:tc>
          <w:tcPr>
            <w:tcW w:w="3118"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հաշվետվություն</w:t>
            </w: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left="627"/>
              <w:jc w:val="left"/>
              <w:rPr>
                <w:rFonts w:ascii="GHEA Grapalat" w:hAnsi="GHEA Grapalat"/>
                <w:sz w:val="24"/>
                <w:szCs w:val="24"/>
              </w:rPr>
            </w:pPr>
            <w:r w:rsidRPr="00CB405A">
              <w:rPr>
                <w:rStyle w:val="Bodytext215pt"/>
                <w:rFonts w:ascii="GHEA Grapalat" w:hAnsi="GHEA Grapalat"/>
                <w:sz w:val="24"/>
                <w:szCs w:val="24"/>
              </w:rPr>
              <w:t>1.4.3. Արտաքին տնտեսական գործունեության հետ կապված՝ գոյություն ունեցող պետական ընթացակարգերի եւ բիզնես գործընթացների վերլուծություն՝ սույն պլանի 1.4.1 կետին համապատասխան, դրանց ավտոմատացման աստիճանների եւ մակարդակների վերլուծություն: Թղթային կրիչով ներկայացվող փաստաթղթերից էլեկտրոնային փաստաթղթերին անցնելիս «նեղ հատվածների» սահմանում</w:t>
            </w:r>
          </w:p>
        </w:tc>
        <w:tc>
          <w:tcPr>
            <w:tcW w:w="2515"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դեկտեմբեր</w:t>
            </w:r>
          </w:p>
        </w:tc>
        <w:tc>
          <w:tcPr>
            <w:tcW w:w="3118"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հաշվետվություն</w:t>
            </w: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left="627"/>
              <w:jc w:val="left"/>
              <w:rPr>
                <w:rFonts w:ascii="GHEA Grapalat" w:hAnsi="GHEA Grapalat"/>
                <w:sz w:val="24"/>
                <w:szCs w:val="24"/>
              </w:rPr>
            </w:pPr>
            <w:r w:rsidRPr="00CB405A">
              <w:rPr>
                <w:rStyle w:val="Bodytext215pt"/>
                <w:rFonts w:ascii="GHEA Grapalat" w:hAnsi="GHEA Grapalat"/>
                <w:sz w:val="24"/>
                <w:szCs w:val="24"/>
              </w:rPr>
              <w:t>1.4.4. Արտաքին տնտեսական գործունեություն իրականացնելու համար անհրաժեշտ փաստաթղթերում պարունակվող տեղեկությունները ներդաշնակեցնելու եւ նվազագույնի հասցնելու հնարավորությունների վերլուծություն</w:t>
            </w:r>
          </w:p>
        </w:tc>
        <w:tc>
          <w:tcPr>
            <w:tcW w:w="2515"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դեկտեմբեր</w:t>
            </w:r>
          </w:p>
        </w:tc>
        <w:tc>
          <w:tcPr>
            <w:tcW w:w="3118"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հաշվետվություն</w:t>
            </w: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left="627"/>
              <w:jc w:val="left"/>
              <w:rPr>
                <w:rFonts w:ascii="GHEA Grapalat" w:hAnsi="GHEA Grapalat"/>
                <w:sz w:val="24"/>
                <w:szCs w:val="24"/>
              </w:rPr>
            </w:pPr>
            <w:r w:rsidRPr="00CB405A">
              <w:rPr>
                <w:rStyle w:val="Bodytext215pt"/>
                <w:rFonts w:ascii="GHEA Grapalat" w:hAnsi="GHEA Grapalat"/>
                <w:sz w:val="24"/>
                <w:szCs w:val="24"/>
              </w:rPr>
              <w:t xml:space="preserve">1.4.5. Պարտադիր վճարների էլեկտրոնային եղանակով վճարման պրակտիկայի եւ «մեկ </w:t>
            </w:r>
            <w:r w:rsidRPr="00CB405A">
              <w:rPr>
                <w:rStyle w:val="Bodytext215pt"/>
                <w:rFonts w:ascii="GHEA Grapalat" w:hAnsi="GHEA Grapalat"/>
                <w:sz w:val="24"/>
                <w:szCs w:val="24"/>
              </w:rPr>
              <w:lastRenderedPageBreak/>
              <w:t>պատուհանի» ազգային մեխանիզմների շրջանակներում այդպիսի ծառայության տրամադրման հնարավորության վերլուծություն</w:t>
            </w:r>
          </w:p>
        </w:tc>
        <w:tc>
          <w:tcPr>
            <w:tcW w:w="2515"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lastRenderedPageBreak/>
              <w:t>2015 թվականի դեկտեմբեր</w:t>
            </w:r>
          </w:p>
        </w:tc>
        <w:tc>
          <w:tcPr>
            <w:tcW w:w="3118"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հաշվետվություն</w:t>
            </w: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left="627"/>
              <w:jc w:val="left"/>
              <w:rPr>
                <w:rFonts w:ascii="GHEA Grapalat" w:hAnsi="GHEA Grapalat"/>
                <w:sz w:val="24"/>
                <w:szCs w:val="24"/>
              </w:rPr>
            </w:pPr>
            <w:r w:rsidRPr="00CB405A">
              <w:rPr>
                <w:rStyle w:val="Bodytext215pt"/>
                <w:rFonts w:ascii="GHEA Grapalat" w:hAnsi="GHEA Grapalat"/>
                <w:sz w:val="24"/>
                <w:szCs w:val="24"/>
              </w:rPr>
              <w:lastRenderedPageBreak/>
              <w:t>1.4.6. Անդամ պետություններում «մեկ պատուհանի» ազգային մեխանիզմների պորտալի ստեղծման տեխնիկական հնարավորության եւ իրավական հիմքերի սահմանում</w:t>
            </w:r>
          </w:p>
        </w:tc>
        <w:tc>
          <w:tcPr>
            <w:tcW w:w="2515"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դեկտեմբեր</w:t>
            </w:r>
          </w:p>
        </w:tc>
        <w:tc>
          <w:tcPr>
            <w:tcW w:w="3118"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հաշվետվություն</w:t>
            </w: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left="627"/>
              <w:jc w:val="left"/>
              <w:rPr>
                <w:rFonts w:ascii="GHEA Grapalat" w:hAnsi="GHEA Grapalat"/>
                <w:sz w:val="24"/>
                <w:szCs w:val="24"/>
              </w:rPr>
            </w:pPr>
            <w:r w:rsidRPr="00CB405A">
              <w:rPr>
                <w:rStyle w:val="Bodytext215pt"/>
                <w:rFonts w:ascii="GHEA Grapalat" w:hAnsi="GHEA Grapalat"/>
                <w:sz w:val="24"/>
                <w:szCs w:val="24"/>
              </w:rPr>
              <w:t>1.4.7. «Մեկ պատուհանի» ազգային մեխանիզմների ստեղծմանն ուղղված ազգային ծրագրերի (նպատակային ցուցանիշների) նպատակի սահմանում</w:t>
            </w:r>
          </w:p>
        </w:tc>
        <w:tc>
          <w:tcPr>
            <w:tcW w:w="2515"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դեկտեմբեր</w:t>
            </w:r>
          </w:p>
        </w:tc>
        <w:tc>
          <w:tcPr>
            <w:tcW w:w="3118"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հաշվետվություն</w:t>
            </w: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left="600"/>
              <w:jc w:val="left"/>
              <w:rPr>
                <w:rFonts w:ascii="GHEA Grapalat" w:hAnsi="GHEA Grapalat"/>
                <w:sz w:val="24"/>
                <w:szCs w:val="24"/>
              </w:rPr>
            </w:pPr>
            <w:r w:rsidRPr="00CB405A">
              <w:rPr>
                <w:rStyle w:val="Bodytext215pt"/>
                <w:rFonts w:ascii="GHEA Grapalat" w:hAnsi="GHEA Grapalat"/>
                <w:sz w:val="24"/>
                <w:szCs w:val="24"/>
              </w:rPr>
              <w:t>1.4.8. «Մեկ պատուհանի» տեղական մեխանիզմների զարգացման ուղղությամբ ընդունված ազգային ծրագրերի ուսումնասիրություն: «Մեկ պատուհանի» ազգային մեխանիզմի միասնական համակարգում դրանց ինտեգրման անհրաժեշտության գնահատում</w:t>
            </w:r>
          </w:p>
        </w:tc>
        <w:tc>
          <w:tcPr>
            <w:tcW w:w="2515"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դեկտեմբեր</w:t>
            </w:r>
          </w:p>
        </w:tc>
        <w:tc>
          <w:tcPr>
            <w:tcW w:w="3118"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հաշվետվություն</w:t>
            </w: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left="600"/>
              <w:jc w:val="left"/>
              <w:rPr>
                <w:rFonts w:ascii="GHEA Grapalat" w:hAnsi="GHEA Grapalat"/>
                <w:sz w:val="24"/>
                <w:szCs w:val="24"/>
              </w:rPr>
            </w:pPr>
            <w:r w:rsidRPr="00CB405A">
              <w:rPr>
                <w:rStyle w:val="Bodytext215pt"/>
                <w:rFonts w:ascii="GHEA Grapalat" w:hAnsi="GHEA Grapalat"/>
                <w:sz w:val="24"/>
                <w:szCs w:val="24"/>
              </w:rPr>
              <w:t>1.4.9. «Մեկ պատուհանի» ազգային մեխանիզմների ուժեղ եւ թույլ</w:t>
            </w:r>
            <w:r w:rsidRPr="00CB405A" w:rsidDel="00F9776D">
              <w:rPr>
                <w:rStyle w:val="Bodytext215pt"/>
                <w:rFonts w:ascii="GHEA Grapalat" w:hAnsi="GHEA Grapalat"/>
                <w:sz w:val="24"/>
                <w:szCs w:val="24"/>
              </w:rPr>
              <w:t xml:space="preserve"> </w:t>
            </w:r>
            <w:r w:rsidRPr="00CB405A">
              <w:rPr>
                <w:rStyle w:val="Bodytext215pt"/>
                <w:rFonts w:ascii="GHEA Grapalat" w:hAnsi="GHEA Grapalat"/>
                <w:sz w:val="24"/>
                <w:szCs w:val="24"/>
              </w:rPr>
              <w:t>կողմերի, զարգացման հնարավորությունների եւ հեռանկարների վերլուծություն</w:t>
            </w:r>
          </w:p>
        </w:tc>
        <w:tc>
          <w:tcPr>
            <w:tcW w:w="2515"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դեկտեմբեր</w:t>
            </w:r>
          </w:p>
        </w:tc>
        <w:tc>
          <w:tcPr>
            <w:tcW w:w="3118"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հաշվետվություն</w:t>
            </w: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left="160"/>
              <w:jc w:val="left"/>
              <w:rPr>
                <w:rFonts w:ascii="GHEA Grapalat" w:hAnsi="GHEA Grapalat"/>
                <w:sz w:val="24"/>
                <w:szCs w:val="24"/>
              </w:rPr>
            </w:pPr>
            <w:r w:rsidRPr="00CB405A">
              <w:rPr>
                <w:rStyle w:val="Bodytext215pt"/>
                <w:rFonts w:ascii="GHEA Grapalat" w:hAnsi="GHEA Grapalat"/>
                <w:sz w:val="24"/>
                <w:szCs w:val="24"/>
              </w:rPr>
              <w:t xml:space="preserve">1.5. «Մեկ պատուհանի» ազգային մեխանիզմների </w:t>
            </w:r>
            <w:r w:rsidRPr="00CB405A">
              <w:rPr>
                <w:rStyle w:val="Bodytext215pt"/>
                <w:rFonts w:ascii="GHEA Grapalat" w:hAnsi="GHEA Grapalat"/>
                <w:sz w:val="24"/>
                <w:szCs w:val="24"/>
              </w:rPr>
              <w:lastRenderedPageBreak/>
              <w:t>զարգացման վիճակի գնահատման արդյունքների հավաքագրում եւ ընդհանրացում։ Արտաքին տնտեսական գործունեության հետ կապված պետական ընթացակարգերի եւ բիզնես գործընթացների օպտիմալացման, ինչպես նաեւ «մեկ պատուհանի» ազգային մեխանիզմների զարգացման վերաբերյալ եզրակացությունների մշակում՝ ըստ յուրաքանչյուր անդամ պետության</w:t>
            </w:r>
          </w:p>
        </w:tc>
        <w:tc>
          <w:tcPr>
            <w:tcW w:w="2515"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lastRenderedPageBreak/>
              <w:t xml:space="preserve">2015 թվականի IV </w:t>
            </w:r>
            <w:r w:rsidRPr="00CB405A">
              <w:rPr>
                <w:rStyle w:val="Bodytext215pt"/>
                <w:rFonts w:ascii="GHEA Grapalat" w:hAnsi="GHEA Grapalat"/>
                <w:sz w:val="24"/>
                <w:szCs w:val="24"/>
              </w:rPr>
              <w:lastRenderedPageBreak/>
              <w:t>եռամսյակ</w:t>
            </w:r>
          </w:p>
        </w:tc>
        <w:tc>
          <w:tcPr>
            <w:tcW w:w="3118"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lastRenderedPageBreak/>
              <w:t xml:space="preserve">Հանձնաժողով, անդամ </w:t>
            </w:r>
            <w:r w:rsidRPr="00CB405A">
              <w:rPr>
                <w:rStyle w:val="Bodytext215pt"/>
                <w:rFonts w:ascii="GHEA Grapalat" w:hAnsi="GHEA Grapalat"/>
                <w:sz w:val="24"/>
                <w:szCs w:val="24"/>
              </w:rPr>
              <w:lastRenderedPageBreak/>
              <w:t>պետություններ</w:t>
            </w:r>
          </w:p>
        </w:tc>
        <w:tc>
          <w:tcPr>
            <w:tcW w:w="3462"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lastRenderedPageBreak/>
              <w:t xml:space="preserve">յուրաքանչյուր անդամ </w:t>
            </w:r>
            <w:r w:rsidRPr="00CB405A">
              <w:rPr>
                <w:rStyle w:val="Bodytext215pt"/>
                <w:rFonts w:ascii="GHEA Grapalat" w:hAnsi="GHEA Grapalat"/>
                <w:sz w:val="24"/>
                <w:szCs w:val="24"/>
              </w:rPr>
              <w:lastRenderedPageBreak/>
              <w:t>պետության վերաբերյալ առաջարկություններ</w:t>
            </w:r>
          </w:p>
        </w:tc>
      </w:tr>
      <w:tr w:rsidR="00204374" w:rsidRPr="00CB405A" w:rsidTr="000837C4">
        <w:trPr>
          <w:trHeight w:val="2459"/>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left="160"/>
              <w:jc w:val="left"/>
              <w:rPr>
                <w:rFonts w:ascii="GHEA Grapalat" w:hAnsi="GHEA Grapalat"/>
                <w:sz w:val="24"/>
                <w:szCs w:val="24"/>
              </w:rPr>
            </w:pPr>
            <w:r w:rsidRPr="00CB405A">
              <w:rPr>
                <w:rStyle w:val="Bodytext215pt"/>
                <w:rFonts w:ascii="GHEA Grapalat" w:hAnsi="GHEA Grapalat"/>
                <w:sz w:val="24"/>
                <w:szCs w:val="24"/>
              </w:rPr>
              <w:lastRenderedPageBreak/>
              <w:t>1.6. «Մեկ պատուհանի» ազգային մեխանիզմի էտալոնային մոդելի գործառույթների եւ ճարտարապետության մանրամասն նկարագրի, այդ էտալոնային մոդելում ընդգրկված պետական ընթացակարգերի եւ ծառայությունների ցանկի մշակում ու հաստատում՝ հաշվի առնելով վերազգային հատվածը</w:t>
            </w:r>
          </w:p>
        </w:tc>
        <w:tc>
          <w:tcPr>
            <w:tcW w:w="2515"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IV եռամսյակ</w:t>
            </w:r>
          </w:p>
        </w:tc>
        <w:tc>
          <w:tcPr>
            <w:tcW w:w="3118"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Հանձնաժողովի խորհրդի որոշման նախագծի նախապատրաստման ընթացքի վերաբերյալ տեղեկանք</w:t>
            </w: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left="140"/>
              <w:jc w:val="left"/>
              <w:rPr>
                <w:rFonts w:ascii="GHEA Grapalat" w:hAnsi="GHEA Grapalat"/>
                <w:sz w:val="24"/>
                <w:szCs w:val="24"/>
              </w:rPr>
            </w:pPr>
            <w:r w:rsidRPr="00CB405A">
              <w:rPr>
                <w:rStyle w:val="Bodytext215pt"/>
                <w:rFonts w:ascii="GHEA Grapalat" w:hAnsi="GHEA Grapalat"/>
                <w:sz w:val="24"/>
                <w:szCs w:val="24"/>
              </w:rPr>
              <w:t>1.7. «Մեկ պատուհանի» ազգային մեխանիզմների մշակում, ներդրում եւ օպտիմալացում</w:t>
            </w:r>
          </w:p>
        </w:tc>
        <w:tc>
          <w:tcPr>
            <w:tcW w:w="2515" w:type="dxa"/>
            <w:shd w:val="clear" w:color="auto" w:fill="FFFFFF"/>
          </w:tcPr>
          <w:p w:rsidR="00204374" w:rsidRPr="00CB405A" w:rsidRDefault="00204374" w:rsidP="00880282">
            <w:pPr>
              <w:spacing w:after="120"/>
              <w:rPr>
                <w:rFonts w:ascii="GHEA Grapalat" w:hAnsi="GHEA Grapalat"/>
              </w:rPr>
            </w:pPr>
          </w:p>
        </w:tc>
        <w:tc>
          <w:tcPr>
            <w:tcW w:w="3118" w:type="dxa"/>
            <w:shd w:val="clear" w:color="auto" w:fill="FFFFFF"/>
          </w:tcPr>
          <w:p w:rsidR="00204374" w:rsidRPr="00CB405A" w:rsidRDefault="00204374" w:rsidP="00880282">
            <w:pPr>
              <w:spacing w:after="120"/>
              <w:rPr>
                <w:rFonts w:ascii="GHEA Grapalat" w:hAnsi="GHEA Grapalat"/>
              </w:rPr>
            </w:pPr>
          </w:p>
        </w:tc>
        <w:tc>
          <w:tcPr>
            <w:tcW w:w="3462" w:type="dxa"/>
            <w:shd w:val="clear" w:color="auto" w:fill="FFFFFF"/>
          </w:tcPr>
          <w:p w:rsidR="00204374" w:rsidRPr="00CB405A" w:rsidRDefault="00204374" w:rsidP="00880282">
            <w:pPr>
              <w:spacing w:after="120"/>
              <w:rPr>
                <w:rFonts w:ascii="GHEA Grapalat" w:hAnsi="GHEA Grapalat"/>
              </w:rPr>
            </w:pP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left="600"/>
              <w:jc w:val="left"/>
              <w:rPr>
                <w:rFonts w:ascii="GHEA Grapalat" w:hAnsi="GHEA Grapalat"/>
                <w:sz w:val="24"/>
                <w:szCs w:val="24"/>
              </w:rPr>
            </w:pPr>
            <w:r w:rsidRPr="00CB405A">
              <w:rPr>
                <w:rStyle w:val="Bodytext215pt"/>
                <w:rFonts w:ascii="GHEA Grapalat" w:hAnsi="GHEA Grapalat"/>
                <w:sz w:val="24"/>
                <w:szCs w:val="24"/>
              </w:rPr>
              <w:t>1.7.1. «Մեկ պատուհանի» ազգային մեխանիզմների զարգացման հայեցակարգերի ստեղծում կամ բարելավում</w:t>
            </w:r>
          </w:p>
        </w:tc>
        <w:tc>
          <w:tcPr>
            <w:tcW w:w="2515"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դեկտեմբեր</w:t>
            </w:r>
          </w:p>
        </w:tc>
        <w:tc>
          <w:tcPr>
            <w:tcW w:w="3118"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անդամ պետություններ</w:t>
            </w:r>
          </w:p>
        </w:tc>
        <w:tc>
          <w:tcPr>
            <w:tcW w:w="3462"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«Մեկ պատուհանի» ազգային մեխանիզմների զարգացման հայեցակարգեր</w:t>
            </w: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left="600"/>
              <w:jc w:val="left"/>
              <w:rPr>
                <w:rFonts w:ascii="GHEA Grapalat" w:hAnsi="GHEA Grapalat"/>
                <w:sz w:val="24"/>
                <w:szCs w:val="24"/>
              </w:rPr>
            </w:pPr>
            <w:r w:rsidRPr="00CB405A">
              <w:rPr>
                <w:rStyle w:val="Bodytext215pt"/>
                <w:rFonts w:ascii="GHEA Grapalat" w:hAnsi="GHEA Grapalat"/>
                <w:sz w:val="24"/>
                <w:szCs w:val="24"/>
              </w:rPr>
              <w:t xml:space="preserve">1.7.2. «Մեկ պատուհանի» ազգային մեխանիզմների ստեղծման հետ կապված </w:t>
            </w:r>
            <w:r w:rsidRPr="00CB405A">
              <w:rPr>
                <w:rStyle w:val="Bodytext215pt"/>
                <w:rFonts w:ascii="GHEA Grapalat" w:hAnsi="GHEA Grapalat"/>
                <w:sz w:val="24"/>
                <w:szCs w:val="24"/>
              </w:rPr>
              <w:lastRenderedPageBreak/>
              <w:t>միջոցառումների պլանների («ճանապարհային քարտեզների») նախապատրաստում</w:t>
            </w:r>
          </w:p>
        </w:tc>
        <w:tc>
          <w:tcPr>
            <w:tcW w:w="2515"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lastRenderedPageBreak/>
              <w:t>2015 թվականի դեկտեմբեր</w:t>
            </w:r>
          </w:p>
        </w:tc>
        <w:tc>
          <w:tcPr>
            <w:tcW w:w="3118"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անդամ պետություններ</w:t>
            </w:r>
          </w:p>
        </w:tc>
        <w:tc>
          <w:tcPr>
            <w:tcW w:w="3462"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 xml:space="preserve">«Մեկ պատուհանի» ազգային մեխանիզմների ստեղծման </w:t>
            </w:r>
            <w:r w:rsidRPr="00CB405A">
              <w:rPr>
                <w:rStyle w:val="Bodytext215pt"/>
                <w:rFonts w:ascii="GHEA Grapalat" w:hAnsi="GHEA Grapalat"/>
                <w:sz w:val="24"/>
                <w:szCs w:val="24"/>
              </w:rPr>
              <w:lastRenderedPageBreak/>
              <w:t>հետ կապված միջոցառումների պլանների («ճանապարհային քարտեզների») նախապատրաստման վերաբերյալ միջանկյալ հաշվետվություն</w:t>
            </w: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ind w:left="600"/>
              <w:jc w:val="left"/>
              <w:rPr>
                <w:rFonts w:ascii="GHEA Grapalat" w:hAnsi="GHEA Grapalat"/>
                <w:sz w:val="24"/>
                <w:szCs w:val="24"/>
              </w:rPr>
            </w:pPr>
            <w:r w:rsidRPr="00CB405A">
              <w:rPr>
                <w:rStyle w:val="Bodytext215pt"/>
                <w:rFonts w:ascii="GHEA Grapalat" w:hAnsi="GHEA Grapalat"/>
                <w:sz w:val="24"/>
                <w:szCs w:val="24"/>
              </w:rPr>
              <w:lastRenderedPageBreak/>
              <w:t>1.7.3. «Մեկ պատուհանի» ազգային մեխանիզմների ներդրման պիլոտային ծրագրերի իրականացում</w:t>
            </w:r>
          </w:p>
        </w:tc>
        <w:tc>
          <w:tcPr>
            <w:tcW w:w="2515"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դեկտեմբեր</w:t>
            </w:r>
          </w:p>
        </w:tc>
        <w:tc>
          <w:tcPr>
            <w:tcW w:w="3118"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անդամ պետություններ</w:t>
            </w:r>
          </w:p>
        </w:tc>
        <w:tc>
          <w:tcPr>
            <w:tcW w:w="3462"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պիլոտային ծրագրերի իրականացման վերաբերյալ միջանկյալ հաշվետվություն</w:t>
            </w:r>
          </w:p>
        </w:tc>
      </w:tr>
      <w:tr w:rsidR="00204374" w:rsidRPr="00CB405A" w:rsidTr="000837C4">
        <w:trPr>
          <w:jc w:val="center"/>
        </w:trPr>
        <w:tc>
          <w:tcPr>
            <w:tcW w:w="15351" w:type="dxa"/>
            <w:gridSpan w:val="4"/>
            <w:shd w:val="clear" w:color="auto" w:fill="FFFFFF"/>
          </w:tcPr>
          <w:p w:rsidR="00204374" w:rsidRPr="00CB405A" w:rsidRDefault="00204374" w:rsidP="00880282">
            <w:pPr>
              <w:pStyle w:val="Bodytext20"/>
              <w:shd w:val="clear" w:color="auto" w:fill="auto"/>
              <w:spacing w:before="0" w:after="120" w:line="240" w:lineRule="auto"/>
              <w:ind w:left="2222" w:right="2333"/>
              <w:jc w:val="center"/>
              <w:rPr>
                <w:rStyle w:val="Bodytext215pt"/>
                <w:rFonts w:ascii="GHEA Grapalat" w:hAnsi="GHEA Grapalat"/>
                <w:sz w:val="24"/>
                <w:szCs w:val="24"/>
              </w:rPr>
            </w:pPr>
            <w:r w:rsidRPr="00CB405A">
              <w:rPr>
                <w:rStyle w:val="Bodytext215pt"/>
                <w:rFonts w:ascii="GHEA Grapalat" w:hAnsi="GHEA Grapalat"/>
                <w:sz w:val="24"/>
                <w:szCs w:val="24"/>
              </w:rPr>
              <w:t>2. «Մեկ պատուհանի» ազգային մեխանիզմների զարգացման հետ կապված մոտեցումների մոտարկում</w:t>
            </w:r>
          </w:p>
        </w:tc>
      </w:tr>
      <w:tr w:rsidR="00204374" w:rsidRPr="00CB405A" w:rsidTr="000837C4">
        <w:trPr>
          <w:jc w:val="center"/>
        </w:trPr>
        <w:tc>
          <w:tcPr>
            <w:tcW w:w="6256"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2.1. «Մեկ պատուհանի» ազգային մեխանիզմների զարգացման հետ կապված մոտեցումների մոտարկման գերակա ուղղությունների սահմանում</w:t>
            </w:r>
          </w:p>
        </w:tc>
        <w:tc>
          <w:tcPr>
            <w:tcW w:w="2515"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IV եռամսյակ</w:t>
            </w:r>
          </w:p>
        </w:tc>
        <w:tc>
          <w:tcPr>
            <w:tcW w:w="3118"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204374" w:rsidRPr="00CB405A" w:rsidRDefault="00204374"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եզրակացություն</w:t>
            </w:r>
          </w:p>
        </w:tc>
      </w:tr>
      <w:tr w:rsidR="000D08A1" w:rsidRPr="00CB405A" w:rsidTr="000837C4">
        <w:trPr>
          <w:jc w:val="center"/>
        </w:trPr>
        <w:tc>
          <w:tcPr>
            <w:tcW w:w="15351" w:type="dxa"/>
            <w:gridSpan w:val="4"/>
            <w:shd w:val="clear" w:color="auto" w:fill="FFFFFF"/>
          </w:tcPr>
          <w:p w:rsidR="000D08A1" w:rsidRPr="00CB405A" w:rsidRDefault="000D08A1" w:rsidP="00880282">
            <w:pPr>
              <w:pStyle w:val="Bodytext20"/>
              <w:shd w:val="clear" w:color="auto" w:fill="auto"/>
              <w:spacing w:before="0" w:after="120" w:line="240" w:lineRule="auto"/>
              <w:ind w:left="1655" w:right="1766"/>
              <w:jc w:val="center"/>
              <w:rPr>
                <w:rFonts w:ascii="GHEA Grapalat" w:hAnsi="GHEA Grapalat"/>
                <w:sz w:val="24"/>
                <w:szCs w:val="24"/>
              </w:rPr>
            </w:pPr>
            <w:r w:rsidRPr="00CB405A">
              <w:rPr>
                <w:rStyle w:val="Bodytext215pt"/>
                <w:rFonts w:ascii="GHEA Grapalat" w:hAnsi="GHEA Grapalat"/>
                <w:sz w:val="24"/>
                <w:szCs w:val="24"/>
              </w:rPr>
              <w:t>3. Արտաքին տնտեսական գործունեություն իրականացնելու համար անհրաժեշտ էլեկտրոնային փաստաթղթերի փոխադարձ ճանաչում</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 xml:space="preserve">3.1. Արտաքին տնտեսական գործունեություն իրականացնելու համար անհրաժեշտ փաստաթղթերի ու տեղեկությունների վերլուծություն եւ Միության իրավունքի մաս կազմող ակտերում եւ անդամ պետությունների օրենսդրության մեջ փոփոխություններ </w:t>
            </w:r>
            <w:r w:rsidRPr="00CB405A">
              <w:rPr>
                <w:rStyle w:val="Bodytext215pt"/>
                <w:rFonts w:ascii="GHEA Grapalat" w:hAnsi="GHEA Grapalat"/>
                <w:sz w:val="24"/>
                <w:szCs w:val="24"/>
              </w:rPr>
              <w:lastRenderedPageBreak/>
              <w:t>կատարելու անհրաժեշտության գնահատում՝ փաստաթղթերում պարունակվող տեղեկությունների միասնականացման եւ ներդաշնակեցման նպատակով</w:t>
            </w:r>
          </w:p>
        </w:tc>
        <w:tc>
          <w:tcPr>
            <w:tcW w:w="2515" w:type="dxa"/>
            <w:shd w:val="clear" w:color="auto" w:fill="FFFFFF"/>
          </w:tcPr>
          <w:p w:rsidR="000D08A1" w:rsidRPr="00CB405A" w:rsidRDefault="000D08A1" w:rsidP="00880282">
            <w:pPr>
              <w:spacing w:after="120"/>
              <w:rPr>
                <w:rFonts w:ascii="GHEA Grapalat" w:hAnsi="GHEA Grapalat"/>
              </w:rPr>
            </w:pPr>
          </w:p>
        </w:tc>
        <w:tc>
          <w:tcPr>
            <w:tcW w:w="3118" w:type="dxa"/>
            <w:shd w:val="clear" w:color="auto" w:fill="FFFFFF"/>
          </w:tcPr>
          <w:p w:rsidR="000D08A1" w:rsidRPr="00CB405A" w:rsidRDefault="000D08A1" w:rsidP="00880282">
            <w:pPr>
              <w:spacing w:after="120"/>
              <w:rPr>
                <w:rFonts w:ascii="GHEA Grapalat" w:hAnsi="GHEA Grapalat"/>
              </w:rPr>
            </w:pPr>
          </w:p>
        </w:tc>
        <w:tc>
          <w:tcPr>
            <w:tcW w:w="3462" w:type="dxa"/>
            <w:shd w:val="clear" w:color="auto" w:fill="FFFFFF"/>
          </w:tcPr>
          <w:p w:rsidR="000D08A1" w:rsidRPr="00CB405A" w:rsidRDefault="000D08A1" w:rsidP="00880282">
            <w:pPr>
              <w:spacing w:after="120"/>
              <w:rPr>
                <w:rFonts w:ascii="GHEA Grapalat" w:hAnsi="GHEA Grapalat"/>
              </w:rPr>
            </w:pP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00"/>
              <w:jc w:val="left"/>
              <w:rPr>
                <w:rFonts w:ascii="GHEA Grapalat" w:hAnsi="GHEA Grapalat"/>
                <w:sz w:val="24"/>
                <w:szCs w:val="24"/>
              </w:rPr>
            </w:pPr>
            <w:r w:rsidRPr="00CB405A">
              <w:rPr>
                <w:rStyle w:val="Bodytext215pt"/>
                <w:rFonts w:ascii="GHEA Grapalat" w:hAnsi="GHEA Grapalat"/>
                <w:sz w:val="24"/>
                <w:szCs w:val="24"/>
              </w:rPr>
              <w:lastRenderedPageBreak/>
              <w:t>3.1.1 Միության իրավունքի մաս կազմող ակտերի եւ անդամ պետությունների օրենսդրության վերլուծություն իրականացնելու հետ կապված մոտեցումների համաձայնեցում՝ այն փաստաթղթերը սահմանելու նպատակով, որոնցում անհրաժեշտ է փոփոխություններ կատարել՝ ուղղված դրանցում պարունակվող տեղեկությունների միասնականացմանը եւ ներդաշնակեցմանը</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հուլիս-օգոստոս</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Միության մարմնի ակտ</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27"/>
              <w:jc w:val="left"/>
              <w:rPr>
                <w:rFonts w:ascii="GHEA Grapalat" w:hAnsi="GHEA Grapalat"/>
                <w:sz w:val="24"/>
                <w:szCs w:val="24"/>
              </w:rPr>
            </w:pPr>
            <w:r w:rsidRPr="00CB405A">
              <w:rPr>
                <w:rStyle w:val="Bodytext215pt"/>
                <w:rFonts w:ascii="GHEA Grapalat" w:hAnsi="GHEA Grapalat"/>
                <w:sz w:val="24"/>
                <w:szCs w:val="24"/>
              </w:rPr>
              <w:t>3.1.2. Միության իրավունքի մաս կազմող ակտերի եւ անդամ պետությունների օրենսդրության վերլուծություն՝ այն փաստաթղթերը սահմանելու նպատակով, որոնցում անհրաժեշտ է փոփոխություններ կատարել՝ ուղղված դրանցում պարունակվող տեղեկությունների միասնականացմանը եւ ներդաշնակեցմանը պետական կարգավորման հետեւյալ ոլորտներում.</w:t>
            </w:r>
          </w:p>
          <w:p w:rsidR="000D08A1" w:rsidRPr="00CB405A" w:rsidRDefault="000D08A1" w:rsidP="00880282">
            <w:pPr>
              <w:pStyle w:val="Bodytext20"/>
              <w:shd w:val="clear" w:color="auto" w:fill="auto"/>
              <w:spacing w:before="0" w:after="120" w:line="240" w:lineRule="auto"/>
              <w:ind w:left="1005" w:firstLine="14"/>
              <w:jc w:val="left"/>
              <w:rPr>
                <w:rStyle w:val="Bodytext215pt"/>
                <w:rFonts w:ascii="GHEA Grapalat" w:hAnsi="GHEA Grapalat"/>
                <w:sz w:val="24"/>
                <w:szCs w:val="24"/>
              </w:rPr>
            </w:pPr>
            <w:r w:rsidRPr="00CB405A">
              <w:rPr>
                <w:rStyle w:val="Bodytext215pt"/>
                <w:rFonts w:ascii="GHEA Grapalat" w:hAnsi="GHEA Grapalat"/>
                <w:sz w:val="24"/>
                <w:szCs w:val="24"/>
              </w:rPr>
              <w:t xml:space="preserve">մաքսային կարգավորում, </w:t>
            </w:r>
          </w:p>
          <w:p w:rsidR="000D08A1" w:rsidRPr="00CB405A" w:rsidRDefault="000D08A1" w:rsidP="00880282">
            <w:pPr>
              <w:pStyle w:val="Bodytext20"/>
              <w:shd w:val="clear" w:color="auto" w:fill="auto"/>
              <w:spacing w:before="0" w:after="120" w:line="240" w:lineRule="auto"/>
              <w:ind w:left="1005" w:firstLine="14"/>
              <w:jc w:val="left"/>
              <w:rPr>
                <w:rStyle w:val="Bodytext215pt"/>
                <w:rFonts w:ascii="GHEA Grapalat" w:hAnsi="GHEA Grapalat"/>
                <w:sz w:val="24"/>
                <w:szCs w:val="24"/>
              </w:rPr>
            </w:pPr>
            <w:r w:rsidRPr="00CB405A">
              <w:rPr>
                <w:rStyle w:val="Bodytext215pt"/>
                <w:rFonts w:ascii="GHEA Grapalat" w:hAnsi="GHEA Grapalat"/>
                <w:sz w:val="24"/>
                <w:szCs w:val="24"/>
              </w:rPr>
              <w:t xml:space="preserve">արժութային կարգավորում, </w:t>
            </w:r>
          </w:p>
          <w:p w:rsidR="000D08A1" w:rsidRPr="00CB405A" w:rsidRDefault="000D08A1" w:rsidP="00880282">
            <w:pPr>
              <w:pStyle w:val="Bodytext20"/>
              <w:shd w:val="clear" w:color="auto" w:fill="auto"/>
              <w:spacing w:before="0" w:after="120" w:line="240" w:lineRule="auto"/>
              <w:ind w:left="1005" w:firstLine="14"/>
              <w:jc w:val="left"/>
              <w:rPr>
                <w:rStyle w:val="Bodytext215pt"/>
                <w:rFonts w:ascii="GHEA Grapalat" w:hAnsi="GHEA Grapalat"/>
                <w:sz w:val="24"/>
                <w:szCs w:val="24"/>
              </w:rPr>
            </w:pPr>
            <w:r w:rsidRPr="00CB405A">
              <w:rPr>
                <w:rStyle w:val="Bodytext215pt"/>
                <w:rFonts w:ascii="GHEA Grapalat" w:hAnsi="GHEA Grapalat"/>
                <w:sz w:val="24"/>
                <w:szCs w:val="24"/>
              </w:rPr>
              <w:lastRenderedPageBreak/>
              <w:t xml:space="preserve">հարկային կարգավորում, </w:t>
            </w:r>
          </w:p>
          <w:p w:rsidR="000D08A1" w:rsidRPr="00CB405A" w:rsidRDefault="000D08A1" w:rsidP="00880282">
            <w:pPr>
              <w:pStyle w:val="Bodytext20"/>
              <w:shd w:val="clear" w:color="auto" w:fill="auto"/>
              <w:spacing w:before="0" w:after="120" w:line="240" w:lineRule="auto"/>
              <w:ind w:left="1005" w:firstLine="14"/>
              <w:jc w:val="left"/>
              <w:rPr>
                <w:rStyle w:val="Bodytext215pt"/>
                <w:rFonts w:ascii="GHEA Grapalat" w:hAnsi="GHEA Grapalat"/>
                <w:sz w:val="24"/>
                <w:szCs w:val="24"/>
              </w:rPr>
            </w:pPr>
            <w:r w:rsidRPr="00CB405A">
              <w:rPr>
                <w:rStyle w:val="Bodytext215pt"/>
                <w:rFonts w:ascii="GHEA Grapalat" w:hAnsi="GHEA Grapalat"/>
                <w:sz w:val="24"/>
                <w:szCs w:val="24"/>
              </w:rPr>
              <w:t xml:space="preserve">մաքսասակագնային կարգավորում, </w:t>
            </w:r>
          </w:p>
          <w:p w:rsidR="000D08A1" w:rsidRPr="00CB405A" w:rsidRDefault="000D08A1" w:rsidP="00880282">
            <w:pPr>
              <w:pStyle w:val="Bodytext20"/>
              <w:shd w:val="clear" w:color="auto" w:fill="auto"/>
              <w:spacing w:before="0" w:after="120" w:line="240" w:lineRule="auto"/>
              <w:ind w:left="1005" w:firstLine="14"/>
              <w:jc w:val="left"/>
              <w:rPr>
                <w:rStyle w:val="Bodytext215pt"/>
                <w:rFonts w:ascii="GHEA Grapalat" w:hAnsi="GHEA Grapalat"/>
                <w:sz w:val="24"/>
                <w:szCs w:val="24"/>
              </w:rPr>
            </w:pPr>
            <w:r w:rsidRPr="00CB405A">
              <w:rPr>
                <w:rStyle w:val="Bodytext215pt"/>
                <w:rFonts w:ascii="GHEA Grapalat" w:hAnsi="GHEA Grapalat"/>
                <w:sz w:val="24"/>
                <w:szCs w:val="24"/>
              </w:rPr>
              <w:t xml:space="preserve">ոչ սակագնային կարգավորում, </w:t>
            </w:r>
          </w:p>
          <w:p w:rsidR="000D08A1" w:rsidRPr="00CB405A" w:rsidRDefault="000D08A1" w:rsidP="00880282">
            <w:pPr>
              <w:pStyle w:val="Bodytext20"/>
              <w:shd w:val="clear" w:color="auto" w:fill="auto"/>
              <w:spacing w:before="0" w:after="120" w:line="240" w:lineRule="auto"/>
              <w:ind w:left="1005" w:firstLine="14"/>
              <w:jc w:val="left"/>
              <w:rPr>
                <w:rStyle w:val="Bodytext215pt"/>
                <w:rFonts w:ascii="GHEA Grapalat" w:hAnsi="GHEA Grapalat"/>
                <w:sz w:val="24"/>
                <w:szCs w:val="24"/>
              </w:rPr>
            </w:pPr>
            <w:r w:rsidRPr="00CB405A">
              <w:rPr>
                <w:rStyle w:val="Bodytext215pt"/>
                <w:rFonts w:ascii="GHEA Grapalat" w:hAnsi="GHEA Grapalat"/>
                <w:sz w:val="24"/>
                <w:szCs w:val="24"/>
              </w:rPr>
              <w:t xml:space="preserve">տեխնիկական կարգավորում, </w:t>
            </w:r>
          </w:p>
          <w:p w:rsidR="000D08A1" w:rsidRPr="00CB405A" w:rsidRDefault="000D08A1" w:rsidP="00880282">
            <w:pPr>
              <w:pStyle w:val="Bodytext20"/>
              <w:shd w:val="clear" w:color="auto" w:fill="auto"/>
              <w:spacing w:before="0" w:after="120" w:line="240" w:lineRule="auto"/>
              <w:ind w:left="1005" w:firstLine="14"/>
              <w:jc w:val="left"/>
              <w:rPr>
                <w:rFonts w:ascii="GHEA Grapalat" w:hAnsi="GHEA Grapalat"/>
                <w:sz w:val="24"/>
                <w:szCs w:val="24"/>
              </w:rPr>
            </w:pPr>
            <w:r w:rsidRPr="00CB405A">
              <w:rPr>
                <w:rStyle w:val="Bodytext215pt"/>
                <w:rFonts w:ascii="GHEA Grapalat" w:hAnsi="GHEA Grapalat"/>
                <w:sz w:val="24"/>
                <w:szCs w:val="24"/>
              </w:rPr>
              <w:t>սանիտարական, անասնաբուժասանիտարական, կարանտինային բուսասանիտարական միջոցներ,</w:t>
            </w:r>
          </w:p>
          <w:p w:rsidR="000D08A1" w:rsidRPr="00CB405A" w:rsidRDefault="000D08A1" w:rsidP="00880282">
            <w:pPr>
              <w:pStyle w:val="Bodytext20"/>
              <w:shd w:val="clear" w:color="auto" w:fill="auto"/>
              <w:spacing w:before="0" w:after="120" w:line="240" w:lineRule="auto"/>
              <w:ind w:left="1005" w:firstLine="14"/>
              <w:jc w:val="left"/>
              <w:rPr>
                <w:rStyle w:val="Bodytext215pt"/>
                <w:rFonts w:ascii="GHEA Grapalat" w:hAnsi="GHEA Grapalat"/>
                <w:sz w:val="24"/>
                <w:szCs w:val="24"/>
              </w:rPr>
            </w:pPr>
            <w:r w:rsidRPr="00CB405A">
              <w:rPr>
                <w:rStyle w:val="Bodytext215pt"/>
                <w:rFonts w:ascii="GHEA Grapalat" w:hAnsi="GHEA Grapalat"/>
                <w:sz w:val="24"/>
                <w:szCs w:val="24"/>
              </w:rPr>
              <w:t xml:space="preserve">ֆինանսական ծառայություններ (բանկային, ապահովագրական), </w:t>
            </w:r>
          </w:p>
          <w:p w:rsidR="000D08A1" w:rsidRPr="00CB405A" w:rsidRDefault="000D08A1" w:rsidP="00880282">
            <w:pPr>
              <w:pStyle w:val="Bodytext20"/>
              <w:shd w:val="clear" w:color="auto" w:fill="auto"/>
              <w:spacing w:before="0" w:after="120" w:line="240" w:lineRule="auto"/>
              <w:ind w:left="1005" w:firstLine="14"/>
              <w:jc w:val="left"/>
              <w:rPr>
                <w:rStyle w:val="Bodytext215pt"/>
                <w:rFonts w:ascii="GHEA Grapalat" w:hAnsi="GHEA Grapalat"/>
                <w:sz w:val="24"/>
                <w:szCs w:val="24"/>
              </w:rPr>
            </w:pPr>
            <w:r w:rsidRPr="00CB405A">
              <w:rPr>
                <w:rStyle w:val="Bodytext215pt"/>
                <w:rFonts w:ascii="GHEA Grapalat" w:hAnsi="GHEA Grapalat"/>
                <w:sz w:val="24"/>
                <w:szCs w:val="24"/>
              </w:rPr>
              <w:t xml:space="preserve">տրանսպորտ ու փոխադրումներ, </w:t>
            </w:r>
          </w:p>
          <w:p w:rsidR="000D08A1" w:rsidRPr="00CB405A" w:rsidRDefault="000D08A1" w:rsidP="00880282">
            <w:pPr>
              <w:pStyle w:val="Bodytext20"/>
              <w:shd w:val="clear" w:color="auto" w:fill="auto"/>
              <w:spacing w:before="0" w:after="120" w:line="240" w:lineRule="auto"/>
              <w:ind w:left="1005" w:firstLine="14"/>
              <w:jc w:val="left"/>
              <w:rPr>
                <w:rFonts w:ascii="GHEA Grapalat" w:hAnsi="GHEA Grapalat"/>
                <w:sz w:val="24"/>
                <w:szCs w:val="24"/>
              </w:rPr>
            </w:pPr>
            <w:r w:rsidRPr="00CB405A">
              <w:rPr>
                <w:rStyle w:val="Bodytext215pt"/>
                <w:rFonts w:ascii="GHEA Grapalat" w:hAnsi="GHEA Grapalat"/>
                <w:sz w:val="24"/>
                <w:szCs w:val="24"/>
              </w:rPr>
              <w:t xml:space="preserve">մտավոր սեփականության իրավունքների պահպանություն եւ պաշտպանություն </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lastRenderedPageBreak/>
              <w:t>2015 թվականի դեկտեմբեր</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եզրակացություն</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83"/>
              <w:jc w:val="left"/>
              <w:rPr>
                <w:rFonts w:ascii="GHEA Grapalat" w:hAnsi="GHEA Grapalat"/>
                <w:sz w:val="24"/>
                <w:szCs w:val="24"/>
              </w:rPr>
            </w:pPr>
            <w:r w:rsidRPr="00CB405A">
              <w:rPr>
                <w:rStyle w:val="Bodytext215pt"/>
                <w:rFonts w:ascii="GHEA Grapalat" w:hAnsi="GHEA Grapalat"/>
                <w:sz w:val="24"/>
                <w:szCs w:val="24"/>
              </w:rPr>
              <w:lastRenderedPageBreak/>
              <w:t xml:space="preserve">3.1.3. Արտաքին տնտեսական գործունեություն իրականացնելու համար անհրաժեշտ փաստաթղթերում պարունակվող տեղեկությունների միասնականացման եւ ներդաշնակեցման աստիճանի ու հնարավորության հետ կապված մոտեցումների համաձայնեցում, այդ թվում՝ միջազգային </w:t>
            </w:r>
            <w:r w:rsidRPr="00CB405A">
              <w:rPr>
                <w:rStyle w:val="Bodytext215pt"/>
                <w:rFonts w:ascii="GHEA Grapalat" w:hAnsi="GHEA Grapalat"/>
                <w:sz w:val="24"/>
                <w:szCs w:val="24"/>
              </w:rPr>
              <w:lastRenderedPageBreak/>
              <w:t>չափորոշիչներին համապատասխան</w:t>
            </w:r>
          </w:p>
        </w:tc>
        <w:tc>
          <w:tcPr>
            <w:tcW w:w="2515" w:type="dxa"/>
            <w:shd w:val="clear" w:color="auto" w:fill="FFFFFF"/>
          </w:tcPr>
          <w:p w:rsidR="000D08A1" w:rsidRPr="00CB405A" w:rsidRDefault="000D08A1" w:rsidP="00880282">
            <w:pPr>
              <w:pStyle w:val="Bodytext20"/>
              <w:shd w:val="clear" w:color="auto" w:fill="auto"/>
              <w:spacing w:before="0" w:after="120" w:line="240" w:lineRule="auto"/>
              <w:ind w:left="76" w:right="192"/>
              <w:jc w:val="left"/>
              <w:rPr>
                <w:rFonts w:ascii="GHEA Grapalat" w:hAnsi="GHEA Grapalat"/>
                <w:sz w:val="24"/>
                <w:szCs w:val="24"/>
              </w:rPr>
            </w:pPr>
            <w:r w:rsidRPr="00CB405A">
              <w:rPr>
                <w:rStyle w:val="Bodytext215pt"/>
                <w:rFonts w:ascii="GHEA Grapalat" w:hAnsi="GHEA Grapalat"/>
                <w:sz w:val="24"/>
                <w:szCs w:val="24"/>
              </w:rPr>
              <w:lastRenderedPageBreak/>
              <w:t>2015 թվականի հուլիս-օգոստոս</w:t>
            </w:r>
          </w:p>
        </w:tc>
        <w:tc>
          <w:tcPr>
            <w:tcW w:w="3118" w:type="dxa"/>
            <w:shd w:val="clear" w:color="auto" w:fill="FFFFFF"/>
          </w:tcPr>
          <w:p w:rsidR="000D08A1" w:rsidRPr="00CB405A" w:rsidRDefault="000D08A1" w:rsidP="00880282">
            <w:pPr>
              <w:pStyle w:val="Bodytext20"/>
              <w:shd w:val="clear" w:color="auto" w:fill="auto"/>
              <w:spacing w:before="0" w:after="120" w:line="240" w:lineRule="auto"/>
              <w:ind w:left="76" w:right="192"/>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ind w:left="76" w:right="192"/>
              <w:jc w:val="left"/>
              <w:rPr>
                <w:rFonts w:ascii="GHEA Grapalat" w:hAnsi="GHEA Grapalat"/>
                <w:sz w:val="24"/>
                <w:szCs w:val="24"/>
              </w:rPr>
            </w:pPr>
            <w:r w:rsidRPr="00CB405A">
              <w:rPr>
                <w:rStyle w:val="Bodytext215pt"/>
                <w:rFonts w:ascii="GHEA Grapalat" w:hAnsi="GHEA Grapalat"/>
                <w:sz w:val="24"/>
                <w:szCs w:val="24"/>
              </w:rPr>
              <w:t>Միության մարմնի ակտ</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41"/>
              <w:jc w:val="left"/>
              <w:rPr>
                <w:rFonts w:ascii="GHEA Grapalat" w:hAnsi="GHEA Grapalat"/>
                <w:sz w:val="24"/>
                <w:szCs w:val="24"/>
              </w:rPr>
            </w:pPr>
            <w:r w:rsidRPr="00CB405A">
              <w:rPr>
                <w:rStyle w:val="Bodytext215pt"/>
                <w:rFonts w:ascii="GHEA Grapalat" w:hAnsi="GHEA Grapalat"/>
                <w:sz w:val="24"/>
                <w:szCs w:val="24"/>
              </w:rPr>
              <w:lastRenderedPageBreak/>
              <w:t>3.1.4. Արտաքին տնտեսական գործունեություն իրականացնելու համար անհրաժեշտ փաստաթղթերում պարունակվող տեղեկությունների միասնականացման եւ ներդաշնակեցման աստիճանի ու հնարավորության գնահատում, այդ թվում՝ միջազգային չափորոշիչներին համապատասխան՝ պետական կարգավորման հետեւյալ ոլորտներում.</w:t>
            </w:r>
          </w:p>
          <w:p w:rsidR="000D08A1" w:rsidRPr="00CB405A" w:rsidRDefault="000D08A1" w:rsidP="00880282">
            <w:pPr>
              <w:pStyle w:val="Bodytext20"/>
              <w:shd w:val="clear" w:color="auto" w:fill="auto"/>
              <w:spacing w:before="0" w:after="120" w:line="240" w:lineRule="auto"/>
              <w:ind w:left="946" w:firstLine="460"/>
              <w:jc w:val="left"/>
              <w:rPr>
                <w:rStyle w:val="Bodytext215pt"/>
                <w:rFonts w:ascii="GHEA Grapalat" w:hAnsi="GHEA Grapalat"/>
                <w:sz w:val="24"/>
                <w:szCs w:val="24"/>
              </w:rPr>
            </w:pPr>
            <w:r w:rsidRPr="00CB405A">
              <w:rPr>
                <w:rStyle w:val="Bodytext215pt"/>
                <w:rFonts w:ascii="GHEA Grapalat" w:hAnsi="GHEA Grapalat"/>
                <w:sz w:val="24"/>
                <w:szCs w:val="24"/>
              </w:rPr>
              <w:t xml:space="preserve">մաքսային կարգավորում, </w:t>
            </w:r>
          </w:p>
          <w:p w:rsidR="000D08A1" w:rsidRPr="00CB405A" w:rsidRDefault="000D08A1" w:rsidP="00880282">
            <w:pPr>
              <w:pStyle w:val="Bodytext20"/>
              <w:shd w:val="clear" w:color="auto" w:fill="auto"/>
              <w:spacing w:before="0" w:after="120" w:line="240" w:lineRule="auto"/>
              <w:ind w:left="946" w:firstLine="460"/>
              <w:jc w:val="left"/>
              <w:rPr>
                <w:rStyle w:val="Bodytext215pt"/>
                <w:rFonts w:ascii="GHEA Grapalat" w:hAnsi="GHEA Grapalat"/>
                <w:sz w:val="24"/>
                <w:szCs w:val="24"/>
              </w:rPr>
            </w:pPr>
            <w:r w:rsidRPr="00CB405A">
              <w:rPr>
                <w:rStyle w:val="Bodytext215pt"/>
                <w:rFonts w:ascii="GHEA Grapalat" w:hAnsi="GHEA Grapalat"/>
                <w:sz w:val="24"/>
                <w:szCs w:val="24"/>
              </w:rPr>
              <w:t xml:space="preserve">արժութային կարգավորում, </w:t>
            </w:r>
          </w:p>
          <w:p w:rsidR="000D08A1" w:rsidRPr="00CB405A" w:rsidRDefault="000D08A1" w:rsidP="00880282">
            <w:pPr>
              <w:pStyle w:val="Bodytext20"/>
              <w:shd w:val="clear" w:color="auto" w:fill="auto"/>
              <w:spacing w:before="0" w:after="120" w:line="240" w:lineRule="auto"/>
              <w:ind w:left="946" w:firstLine="460"/>
              <w:jc w:val="left"/>
              <w:rPr>
                <w:rStyle w:val="Bodytext215pt"/>
                <w:rFonts w:ascii="GHEA Grapalat" w:hAnsi="GHEA Grapalat"/>
                <w:sz w:val="24"/>
                <w:szCs w:val="24"/>
              </w:rPr>
            </w:pPr>
            <w:r w:rsidRPr="00CB405A">
              <w:rPr>
                <w:rStyle w:val="Bodytext215pt"/>
                <w:rFonts w:ascii="GHEA Grapalat" w:hAnsi="GHEA Grapalat"/>
                <w:sz w:val="24"/>
                <w:szCs w:val="24"/>
              </w:rPr>
              <w:t xml:space="preserve">հարկային կարգավորում, </w:t>
            </w:r>
          </w:p>
          <w:p w:rsidR="000D08A1" w:rsidRPr="00CB405A" w:rsidRDefault="000D08A1" w:rsidP="00880282">
            <w:pPr>
              <w:pStyle w:val="Bodytext20"/>
              <w:shd w:val="clear" w:color="auto" w:fill="auto"/>
              <w:spacing w:before="0" w:after="120" w:line="240" w:lineRule="auto"/>
              <w:ind w:left="946" w:firstLine="460"/>
              <w:jc w:val="left"/>
              <w:rPr>
                <w:rStyle w:val="Bodytext215pt"/>
                <w:rFonts w:ascii="GHEA Grapalat" w:hAnsi="GHEA Grapalat"/>
                <w:sz w:val="24"/>
                <w:szCs w:val="24"/>
              </w:rPr>
            </w:pPr>
            <w:r w:rsidRPr="00CB405A">
              <w:rPr>
                <w:rStyle w:val="Bodytext215pt"/>
                <w:rFonts w:ascii="GHEA Grapalat" w:hAnsi="GHEA Grapalat"/>
                <w:sz w:val="24"/>
                <w:szCs w:val="24"/>
              </w:rPr>
              <w:t xml:space="preserve">մաքսասակագնային կարգավորում, </w:t>
            </w:r>
          </w:p>
          <w:p w:rsidR="000D08A1" w:rsidRPr="00CB405A" w:rsidRDefault="000D08A1" w:rsidP="00880282">
            <w:pPr>
              <w:pStyle w:val="Bodytext20"/>
              <w:shd w:val="clear" w:color="auto" w:fill="auto"/>
              <w:spacing w:before="0" w:after="120" w:line="240" w:lineRule="auto"/>
              <w:ind w:left="946" w:firstLine="460"/>
              <w:jc w:val="left"/>
              <w:rPr>
                <w:rStyle w:val="Bodytext215pt"/>
                <w:rFonts w:ascii="GHEA Grapalat" w:hAnsi="GHEA Grapalat"/>
                <w:sz w:val="24"/>
                <w:szCs w:val="24"/>
              </w:rPr>
            </w:pPr>
            <w:r w:rsidRPr="00CB405A">
              <w:rPr>
                <w:rStyle w:val="Bodytext215pt"/>
                <w:rFonts w:ascii="GHEA Grapalat" w:hAnsi="GHEA Grapalat"/>
                <w:sz w:val="24"/>
                <w:szCs w:val="24"/>
              </w:rPr>
              <w:t xml:space="preserve">ոչ սակագնային կարգավորում, </w:t>
            </w:r>
          </w:p>
          <w:p w:rsidR="000D08A1" w:rsidRPr="00CB405A" w:rsidRDefault="000D08A1" w:rsidP="00880282">
            <w:pPr>
              <w:pStyle w:val="Bodytext20"/>
              <w:shd w:val="clear" w:color="auto" w:fill="auto"/>
              <w:spacing w:before="0" w:after="120" w:line="240" w:lineRule="auto"/>
              <w:ind w:left="946" w:firstLine="460"/>
              <w:jc w:val="left"/>
              <w:rPr>
                <w:rStyle w:val="Bodytext215pt"/>
                <w:rFonts w:ascii="GHEA Grapalat" w:hAnsi="GHEA Grapalat"/>
                <w:sz w:val="24"/>
                <w:szCs w:val="24"/>
              </w:rPr>
            </w:pPr>
            <w:r w:rsidRPr="00CB405A">
              <w:rPr>
                <w:rStyle w:val="Bodytext215pt"/>
                <w:rFonts w:ascii="GHEA Grapalat" w:hAnsi="GHEA Grapalat"/>
                <w:sz w:val="24"/>
                <w:szCs w:val="24"/>
              </w:rPr>
              <w:t xml:space="preserve">տեխնիկական կարգավորում, </w:t>
            </w:r>
          </w:p>
          <w:p w:rsidR="000D08A1" w:rsidRPr="00CB405A" w:rsidRDefault="000D08A1" w:rsidP="00880282">
            <w:pPr>
              <w:pStyle w:val="Bodytext20"/>
              <w:shd w:val="clear" w:color="auto" w:fill="auto"/>
              <w:spacing w:before="0" w:after="120" w:line="240" w:lineRule="auto"/>
              <w:ind w:left="946" w:firstLine="460"/>
              <w:jc w:val="left"/>
              <w:rPr>
                <w:rFonts w:ascii="GHEA Grapalat" w:hAnsi="GHEA Grapalat"/>
                <w:sz w:val="24"/>
                <w:szCs w:val="24"/>
              </w:rPr>
            </w:pPr>
            <w:r w:rsidRPr="00CB405A">
              <w:rPr>
                <w:rStyle w:val="Bodytext215pt"/>
                <w:rFonts w:ascii="GHEA Grapalat" w:hAnsi="GHEA Grapalat"/>
                <w:sz w:val="24"/>
                <w:szCs w:val="24"/>
              </w:rPr>
              <w:t>սանիտարական, անասնաբուժասանիտարական, կարանտինային բուսասանիտարական միջոցներ,</w:t>
            </w:r>
          </w:p>
          <w:p w:rsidR="000D08A1" w:rsidRPr="00CB405A" w:rsidRDefault="000D08A1" w:rsidP="00880282">
            <w:pPr>
              <w:pStyle w:val="Bodytext20"/>
              <w:shd w:val="clear" w:color="auto" w:fill="auto"/>
              <w:spacing w:before="0" w:after="120" w:line="240" w:lineRule="auto"/>
              <w:ind w:left="946" w:firstLine="460"/>
              <w:jc w:val="left"/>
              <w:rPr>
                <w:rStyle w:val="Bodytext215pt"/>
                <w:rFonts w:ascii="GHEA Grapalat" w:hAnsi="GHEA Grapalat"/>
                <w:sz w:val="24"/>
                <w:szCs w:val="24"/>
              </w:rPr>
            </w:pPr>
            <w:r w:rsidRPr="00CB405A">
              <w:rPr>
                <w:rStyle w:val="Bodytext215pt"/>
                <w:rFonts w:ascii="GHEA Grapalat" w:hAnsi="GHEA Grapalat"/>
                <w:sz w:val="24"/>
                <w:szCs w:val="24"/>
              </w:rPr>
              <w:t xml:space="preserve">ֆինանսական ծառայություններ </w:t>
            </w:r>
            <w:r w:rsidRPr="00CB405A">
              <w:rPr>
                <w:rStyle w:val="Bodytext215pt"/>
                <w:rFonts w:ascii="GHEA Grapalat" w:hAnsi="GHEA Grapalat"/>
                <w:sz w:val="24"/>
                <w:szCs w:val="24"/>
              </w:rPr>
              <w:lastRenderedPageBreak/>
              <w:t xml:space="preserve">(բանկային, ապահովագրական), </w:t>
            </w:r>
          </w:p>
          <w:p w:rsidR="000D08A1" w:rsidRPr="00CB405A" w:rsidRDefault="000D08A1" w:rsidP="00880282">
            <w:pPr>
              <w:pStyle w:val="Bodytext20"/>
              <w:shd w:val="clear" w:color="auto" w:fill="auto"/>
              <w:spacing w:before="0" w:after="120" w:line="240" w:lineRule="auto"/>
              <w:ind w:left="946" w:firstLine="460"/>
              <w:jc w:val="left"/>
              <w:rPr>
                <w:rStyle w:val="Bodytext215pt"/>
                <w:rFonts w:ascii="GHEA Grapalat" w:hAnsi="GHEA Grapalat"/>
                <w:sz w:val="24"/>
                <w:szCs w:val="24"/>
              </w:rPr>
            </w:pPr>
            <w:r w:rsidRPr="00CB405A">
              <w:rPr>
                <w:rStyle w:val="Bodytext215pt"/>
                <w:rFonts w:ascii="GHEA Grapalat" w:hAnsi="GHEA Grapalat"/>
                <w:sz w:val="24"/>
                <w:szCs w:val="24"/>
              </w:rPr>
              <w:t xml:space="preserve">տրանսպորտ ու փոխադրումներ, </w:t>
            </w:r>
          </w:p>
          <w:p w:rsidR="000D08A1" w:rsidRPr="00CB405A" w:rsidRDefault="000D08A1" w:rsidP="00880282">
            <w:pPr>
              <w:pStyle w:val="Bodytext20"/>
              <w:shd w:val="clear" w:color="auto" w:fill="auto"/>
              <w:spacing w:before="0" w:after="120" w:line="240" w:lineRule="auto"/>
              <w:ind w:left="946" w:firstLine="460"/>
              <w:jc w:val="left"/>
              <w:rPr>
                <w:rFonts w:ascii="GHEA Grapalat" w:hAnsi="GHEA Grapalat"/>
                <w:sz w:val="24"/>
                <w:szCs w:val="24"/>
              </w:rPr>
            </w:pPr>
            <w:r w:rsidRPr="00CB405A">
              <w:rPr>
                <w:rStyle w:val="Bodytext215pt"/>
                <w:rFonts w:ascii="GHEA Grapalat" w:hAnsi="GHEA Grapalat"/>
                <w:sz w:val="24"/>
                <w:szCs w:val="24"/>
              </w:rPr>
              <w:t>մտավոր սեփականության իրավունքների պահպանություն եւ պաշտպանություն</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lastRenderedPageBreak/>
              <w:t>2015 թվականի դեկտեմբեր</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եզրակացություն</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55" w:right="184"/>
              <w:jc w:val="left"/>
              <w:rPr>
                <w:rFonts w:ascii="GHEA Grapalat" w:hAnsi="GHEA Grapalat"/>
                <w:sz w:val="24"/>
                <w:szCs w:val="24"/>
              </w:rPr>
            </w:pPr>
            <w:r w:rsidRPr="00CB405A">
              <w:rPr>
                <w:rStyle w:val="Bodytext215pt"/>
                <w:rFonts w:ascii="GHEA Grapalat" w:hAnsi="GHEA Grapalat"/>
                <w:sz w:val="24"/>
                <w:szCs w:val="24"/>
              </w:rPr>
              <w:lastRenderedPageBreak/>
              <w:t>3.1.5. Էլեկտրոնային փաստաթղթերի ձեւակերպման հնարավորության գնահատման հետ կապված մոտեցումների համաձայնեցում</w:t>
            </w:r>
          </w:p>
        </w:tc>
        <w:tc>
          <w:tcPr>
            <w:tcW w:w="2515" w:type="dxa"/>
            <w:shd w:val="clear" w:color="auto" w:fill="FFFFFF"/>
          </w:tcPr>
          <w:p w:rsidR="000D08A1" w:rsidRPr="00CB405A" w:rsidRDefault="000D08A1" w:rsidP="00880282">
            <w:pPr>
              <w:pStyle w:val="Bodytext20"/>
              <w:shd w:val="clear" w:color="auto" w:fill="auto"/>
              <w:spacing w:before="0" w:after="120" w:line="240" w:lineRule="auto"/>
              <w:ind w:left="79" w:right="105"/>
              <w:jc w:val="left"/>
              <w:rPr>
                <w:rFonts w:ascii="GHEA Grapalat" w:hAnsi="GHEA Grapalat"/>
                <w:sz w:val="24"/>
                <w:szCs w:val="24"/>
              </w:rPr>
            </w:pPr>
            <w:r w:rsidRPr="00CB405A">
              <w:rPr>
                <w:rStyle w:val="Bodytext215pt"/>
                <w:rFonts w:ascii="GHEA Grapalat" w:hAnsi="GHEA Grapalat"/>
                <w:sz w:val="24"/>
                <w:szCs w:val="24"/>
              </w:rPr>
              <w:t>2015 թվականի հուլիս-օգոստոս</w:t>
            </w:r>
          </w:p>
        </w:tc>
        <w:tc>
          <w:tcPr>
            <w:tcW w:w="3118" w:type="dxa"/>
            <w:shd w:val="clear" w:color="auto" w:fill="FFFFFF"/>
          </w:tcPr>
          <w:p w:rsidR="000D08A1" w:rsidRPr="00CB405A" w:rsidRDefault="000D08A1" w:rsidP="00880282">
            <w:pPr>
              <w:pStyle w:val="Bodytext20"/>
              <w:shd w:val="clear" w:color="auto" w:fill="auto"/>
              <w:spacing w:before="0" w:after="120" w:line="240" w:lineRule="auto"/>
              <w:ind w:left="79" w:right="105"/>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ind w:left="79" w:right="105"/>
              <w:jc w:val="left"/>
              <w:rPr>
                <w:rFonts w:ascii="GHEA Grapalat" w:hAnsi="GHEA Grapalat"/>
                <w:sz w:val="24"/>
                <w:szCs w:val="24"/>
              </w:rPr>
            </w:pPr>
            <w:r w:rsidRPr="00CB405A">
              <w:rPr>
                <w:rStyle w:val="Bodytext215pt"/>
                <w:rFonts w:ascii="GHEA Grapalat" w:hAnsi="GHEA Grapalat"/>
                <w:sz w:val="24"/>
                <w:szCs w:val="24"/>
              </w:rPr>
              <w:t>Միության մարմնի ակտ</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00" w:right="45"/>
              <w:jc w:val="left"/>
              <w:rPr>
                <w:rStyle w:val="Bodytext215pt"/>
                <w:rFonts w:ascii="GHEA Grapalat" w:hAnsi="GHEA Grapalat"/>
                <w:sz w:val="24"/>
                <w:szCs w:val="24"/>
              </w:rPr>
            </w:pPr>
            <w:r w:rsidRPr="00CB405A">
              <w:rPr>
                <w:rStyle w:val="Bodytext215pt"/>
                <w:rFonts w:ascii="GHEA Grapalat" w:hAnsi="GHEA Grapalat"/>
                <w:sz w:val="24"/>
                <w:szCs w:val="24"/>
              </w:rPr>
              <w:t xml:space="preserve">3.1.6. Էլեկտրոնային փաստաթղթերի ձեւակերպման հնարավորության գնահատում պետական կարգավորման հետեւյալ ոլորտներում. </w:t>
            </w:r>
          </w:p>
          <w:p w:rsidR="000D08A1" w:rsidRPr="00CB405A" w:rsidRDefault="000D08A1" w:rsidP="00880282">
            <w:pPr>
              <w:pStyle w:val="Bodytext20"/>
              <w:shd w:val="clear" w:color="auto" w:fill="auto"/>
              <w:spacing w:before="0" w:after="120" w:line="240" w:lineRule="auto"/>
              <w:ind w:left="661" w:firstLine="426"/>
              <w:jc w:val="left"/>
              <w:rPr>
                <w:rStyle w:val="Bodytext215pt"/>
                <w:rFonts w:ascii="GHEA Grapalat" w:hAnsi="GHEA Grapalat"/>
                <w:sz w:val="24"/>
                <w:szCs w:val="24"/>
              </w:rPr>
            </w:pPr>
            <w:r w:rsidRPr="00CB405A">
              <w:rPr>
                <w:rStyle w:val="Bodytext215pt"/>
                <w:rFonts w:ascii="GHEA Grapalat" w:hAnsi="GHEA Grapalat"/>
                <w:sz w:val="24"/>
                <w:szCs w:val="24"/>
              </w:rPr>
              <w:t xml:space="preserve">մաքսային կարգավորում, </w:t>
            </w:r>
          </w:p>
          <w:p w:rsidR="000D08A1" w:rsidRPr="00CB405A" w:rsidRDefault="000D08A1" w:rsidP="00880282">
            <w:pPr>
              <w:pStyle w:val="Bodytext20"/>
              <w:shd w:val="clear" w:color="auto" w:fill="auto"/>
              <w:spacing w:before="0" w:after="120" w:line="240" w:lineRule="auto"/>
              <w:ind w:left="661" w:firstLine="426"/>
              <w:jc w:val="left"/>
              <w:rPr>
                <w:rStyle w:val="Bodytext215pt"/>
                <w:rFonts w:ascii="GHEA Grapalat" w:hAnsi="GHEA Grapalat"/>
                <w:sz w:val="24"/>
                <w:szCs w:val="24"/>
              </w:rPr>
            </w:pPr>
            <w:r w:rsidRPr="00CB405A">
              <w:rPr>
                <w:rStyle w:val="Bodytext215pt"/>
                <w:rFonts w:ascii="GHEA Grapalat" w:hAnsi="GHEA Grapalat"/>
                <w:sz w:val="24"/>
                <w:szCs w:val="24"/>
              </w:rPr>
              <w:t xml:space="preserve">արժութային կարգավորում, </w:t>
            </w:r>
          </w:p>
          <w:p w:rsidR="000D08A1" w:rsidRPr="00CB405A" w:rsidRDefault="000D08A1" w:rsidP="00880282">
            <w:pPr>
              <w:pStyle w:val="Bodytext20"/>
              <w:shd w:val="clear" w:color="auto" w:fill="auto"/>
              <w:spacing w:before="0" w:after="120" w:line="240" w:lineRule="auto"/>
              <w:ind w:left="661" w:firstLine="426"/>
              <w:jc w:val="left"/>
              <w:rPr>
                <w:rStyle w:val="Bodytext215pt"/>
                <w:rFonts w:ascii="GHEA Grapalat" w:hAnsi="GHEA Grapalat"/>
                <w:sz w:val="24"/>
                <w:szCs w:val="24"/>
              </w:rPr>
            </w:pPr>
            <w:r w:rsidRPr="00CB405A">
              <w:rPr>
                <w:rStyle w:val="Bodytext215pt"/>
                <w:rFonts w:ascii="GHEA Grapalat" w:hAnsi="GHEA Grapalat"/>
                <w:sz w:val="24"/>
                <w:szCs w:val="24"/>
              </w:rPr>
              <w:t xml:space="preserve">հարկային կարգավորում, </w:t>
            </w:r>
          </w:p>
          <w:p w:rsidR="000D08A1" w:rsidRPr="00CB405A" w:rsidRDefault="000D08A1" w:rsidP="00880282">
            <w:pPr>
              <w:pStyle w:val="Bodytext20"/>
              <w:shd w:val="clear" w:color="auto" w:fill="auto"/>
              <w:spacing w:before="0" w:after="120" w:line="240" w:lineRule="auto"/>
              <w:ind w:left="661" w:firstLine="426"/>
              <w:jc w:val="left"/>
              <w:rPr>
                <w:rStyle w:val="Bodytext215pt"/>
                <w:rFonts w:ascii="GHEA Grapalat" w:hAnsi="GHEA Grapalat"/>
                <w:sz w:val="24"/>
                <w:szCs w:val="24"/>
              </w:rPr>
            </w:pPr>
            <w:r w:rsidRPr="00CB405A">
              <w:rPr>
                <w:rStyle w:val="Bodytext215pt"/>
                <w:rFonts w:ascii="GHEA Grapalat" w:hAnsi="GHEA Grapalat"/>
                <w:sz w:val="24"/>
                <w:szCs w:val="24"/>
              </w:rPr>
              <w:t xml:space="preserve">մաքսասակագնային կարգավորում, </w:t>
            </w:r>
          </w:p>
          <w:p w:rsidR="000D08A1" w:rsidRPr="00CB405A" w:rsidRDefault="000D08A1" w:rsidP="00880282">
            <w:pPr>
              <w:pStyle w:val="Bodytext20"/>
              <w:shd w:val="clear" w:color="auto" w:fill="auto"/>
              <w:spacing w:before="0" w:after="120" w:line="240" w:lineRule="auto"/>
              <w:ind w:left="661" w:firstLine="426"/>
              <w:jc w:val="left"/>
              <w:rPr>
                <w:rStyle w:val="Bodytext215pt"/>
                <w:rFonts w:ascii="GHEA Grapalat" w:hAnsi="GHEA Grapalat"/>
                <w:sz w:val="24"/>
                <w:szCs w:val="24"/>
              </w:rPr>
            </w:pPr>
            <w:r w:rsidRPr="00CB405A">
              <w:rPr>
                <w:rStyle w:val="Bodytext215pt"/>
                <w:rFonts w:ascii="GHEA Grapalat" w:hAnsi="GHEA Grapalat"/>
                <w:sz w:val="24"/>
                <w:szCs w:val="24"/>
              </w:rPr>
              <w:t xml:space="preserve">ոչ սակագնային կարգավորում, </w:t>
            </w:r>
          </w:p>
          <w:p w:rsidR="000D08A1" w:rsidRPr="00CB405A" w:rsidRDefault="000D08A1" w:rsidP="00880282">
            <w:pPr>
              <w:pStyle w:val="Bodytext20"/>
              <w:shd w:val="clear" w:color="auto" w:fill="auto"/>
              <w:spacing w:before="0" w:after="120" w:line="240" w:lineRule="auto"/>
              <w:ind w:left="661" w:firstLine="426"/>
              <w:jc w:val="left"/>
              <w:rPr>
                <w:rStyle w:val="Bodytext215pt"/>
                <w:rFonts w:ascii="GHEA Grapalat" w:hAnsi="GHEA Grapalat"/>
                <w:sz w:val="24"/>
                <w:szCs w:val="24"/>
              </w:rPr>
            </w:pPr>
            <w:r w:rsidRPr="00CB405A">
              <w:rPr>
                <w:rStyle w:val="Bodytext215pt"/>
                <w:rFonts w:ascii="GHEA Grapalat" w:hAnsi="GHEA Grapalat"/>
                <w:sz w:val="24"/>
                <w:szCs w:val="24"/>
              </w:rPr>
              <w:t xml:space="preserve">տեխնիկական կարգավորում, </w:t>
            </w:r>
          </w:p>
          <w:p w:rsidR="000D08A1" w:rsidRPr="00CB405A" w:rsidRDefault="000D08A1" w:rsidP="00880282">
            <w:pPr>
              <w:pStyle w:val="Bodytext20"/>
              <w:shd w:val="clear" w:color="auto" w:fill="auto"/>
              <w:spacing w:before="0" w:after="120" w:line="240" w:lineRule="auto"/>
              <w:ind w:left="661" w:firstLine="426"/>
              <w:jc w:val="left"/>
              <w:rPr>
                <w:rFonts w:ascii="GHEA Grapalat" w:hAnsi="GHEA Grapalat"/>
                <w:sz w:val="24"/>
                <w:szCs w:val="24"/>
              </w:rPr>
            </w:pPr>
            <w:r w:rsidRPr="00CB405A">
              <w:rPr>
                <w:rStyle w:val="Bodytext215pt"/>
                <w:rFonts w:ascii="GHEA Grapalat" w:hAnsi="GHEA Grapalat"/>
                <w:sz w:val="24"/>
                <w:szCs w:val="24"/>
              </w:rPr>
              <w:t>սանիտարական, անասնաբուժասանիտարական, կարանտինային բուսասանիտարական միջոցներ,</w:t>
            </w:r>
          </w:p>
          <w:p w:rsidR="000D08A1" w:rsidRPr="00CB405A" w:rsidRDefault="000D08A1" w:rsidP="00880282">
            <w:pPr>
              <w:pStyle w:val="Bodytext20"/>
              <w:shd w:val="clear" w:color="auto" w:fill="auto"/>
              <w:spacing w:before="0" w:after="120" w:line="240" w:lineRule="auto"/>
              <w:ind w:left="661" w:firstLine="426"/>
              <w:jc w:val="left"/>
              <w:rPr>
                <w:rStyle w:val="Bodytext215pt0"/>
                <w:rFonts w:ascii="GHEA Grapalat" w:hAnsi="GHEA Grapalat"/>
                <w:b w:val="0"/>
                <w:spacing w:val="0"/>
                <w:sz w:val="24"/>
                <w:szCs w:val="24"/>
              </w:rPr>
            </w:pPr>
            <w:r w:rsidRPr="00CB405A">
              <w:rPr>
                <w:rStyle w:val="Bodytext215pt0"/>
                <w:rFonts w:ascii="GHEA Grapalat" w:hAnsi="GHEA Grapalat"/>
                <w:b w:val="0"/>
                <w:spacing w:val="0"/>
                <w:sz w:val="24"/>
                <w:szCs w:val="24"/>
              </w:rPr>
              <w:lastRenderedPageBreak/>
              <w:t>ֆինանսական ծառայություններ (բանկային, ապահովագրական),</w:t>
            </w:r>
          </w:p>
          <w:p w:rsidR="000D08A1" w:rsidRPr="00CB405A" w:rsidRDefault="000D08A1" w:rsidP="00880282">
            <w:pPr>
              <w:pStyle w:val="Bodytext20"/>
              <w:shd w:val="clear" w:color="auto" w:fill="auto"/>
              <w:spacing w:before="0" w:after="120" w:line="240" w:lineRule="auto"/>
              <w:ind w:left="661" w:firstLine="426"/>
              <w:jc w:val="left"/>
              <w:rPr>
                <w:rStyle w:val="Bodytext215pt0"/>
                <w:rFonts w:ascii="GHEA Grapalat" w:hAnsi="GHEA Grapalat"/>
                <w:b w:val="0"/>
                <w:spacing w:val="0"/>
                <w:sz w:val="24"/>
                <w:szCs w:val="24"/>
              </w:rPr>
            </w:pPr>
            <w:r w:rsidRPr="00CB405A">
              <w:rPr>
                <w:rStyle w:val="Bodytext215pt0"/>
                <w:rFonts w:ascii="GHEA Grapalat" w:hAnsi="GHEA Grapalat"/>
                <w:b w:val="0"/>
                <w:spacing w:val="0"/>
                <w:sz w:val="24"/>
                <w:szCs w:val="24"/>
              </w:rPr>
              <w:t xml:space="preserve">տրանսպորտ ու փոխադրումներ, </w:t>
            </w:r>
          </w:p>
          <w:p w:rsidR="000D08A1" w:rsidRPr="00CB405A" w:rsidRDefault="000D08A1" w:rsidP="00880282">
            <w:pPr>
              <w:pStyle w:val="Bodytext20"/>
              <w:shd w:val="clear" w:color="auto" w:fill="auto"/>
              <w:spacing w:before="0" w:after="120" w:line="240" w:lineRule="auto"/>
              <w:ind w:left="661" w:firstLine="426"/>
              <w:jc w:val="left"/>
              <w:rPr>
                <w:rFonts w:ascii="GHEA Grapalat" w:hAnsi="GHEA Grapalat"/>
                <w:sz w:val="24"/>
                <w:szCs w:val="24"/>
              </w:rPr>
            </w:pPr>
            <w:r w:rsidRPr="00CB405A">
              <w:rPr>
                <w:rStyle w:val="Bodytext215pt0"/>
                <w:rFonts w:ascii="GHEA Grapalat" w:hAnsi="GHEA Grapalat"/>
                <w:b w:val="0"/>
                <w:spacing w:val="0"/>
                <w:sz w:val="24"/>
                <w:szCs w:val="24"/>
              </w:rPr>
              <w:t>մտավոր</w:t>
            </w:r>
            <w:r w:rsidRPr="00CB405A">
              <w:rPr>
                <w:rStyle w:val="Bodytext215pt"/>
                <w:rFonts w:ascii="GHEA Grapalat" w:hAnsi="GHEA Grapalat"/>
                <w:sz w:val="24"/>
                <w:szCs w:val="24"/>
              </w:rPr>
              <w:t xml:space="preserve"> սեփականության իրավունքների պահպանություն եւ պաշտպանություն</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lastRenderedPageBreak/>
              <w:t>2015 թվականի դեկտեմբեր</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եզրակացություն</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140"/>
              <w:jc w:val="left"/>
              <w:rPr>
                <w:rFonts w:ascii="GHEA Grapalat" w:hAnsi="GHEA Grapalat"/>
                <w:sz w:val="24"/>
                <w:szCs w:val="24"/>
              </w:rPr>
            </w:pPr>
            <w:r w:rsidRPr="00CB405A">
              <w:rPr>
                <w:rStyle w:val="Bodytext215pt"/>
                <w:rFonts w:ascii="GHEA Grapalat" w:hAnsi="GHEA Grapalat"/>
                <w:sz w:val="24"/>
                <w:szCs w:val="24"/>
              </w:rPr>
              <w:lastRenderedPageBreak/>
              <w:t>3.2. Արտաքին տնտեսական գործունեություն իրականացնելու համար անհրաժեշտ փաստաթղթերում, ինչպես նաեւ Միության տարածքում ձեւակերպվող էլեկտրոնային փաստաթղթերում պարունակվող տեղեկությունների միասնականացում եւ ներդաշնակեցում՝ դրանց փոխադարձ ճանաչման նպատակով</w:t>
            </w:r>
          </w:p>
        </w:tc>
        <w:tc>
          <w:tcPr>
            <w:tcW w:w="2515" w:type="dxa"/>
            <w:shd w:val="clear" w:color="auto" w:fill="FFFFFF"/>
          </w:tcPr>
          <w:p w:rsidR="000D08A1" w:rsidRPr="00CB405A" w:rsidRDefault="000D08A1" w:rsidP="00880282">
            <w:pPr>
              <w:spacing w:after="120"/>
              <w:rPr>
                <w:rFonts w:ascii="GHEA Grapalat" w:hAnsi="GHEA Grapalat"/>
              </w:rPr>
            </w:pPr>
          </w:p>
        </w:tc>
        <w:tc>
          <w:tcPr>
            <w:tcW w:w="3118" w:type="dxa"/>
            <w:shd w:val="clear" w:color="auto" w:fill="FFFFFF"/>
          </w:tcPr>
          <w:p w:rsidR="000D08A1" w:rsidRPr="00CB405A" w:rsidRDefault="000D08A1" w:rsidP="00880282">
            <w:pPr>
              <w:spacing w:after="120"/>
              <w:rPr>
                <w:rFonts w:ascii="GHEA Grapalat" w:hAnsi="GHEA Grapalat"/>
              </w:rPr>
            </w:pPr>
          </w:p>
        </w:tc>
        <w:tc>
          <w:tcPr>
            <w:tcW w:w="3462" w:type="dxa"/>
            <w:shd w:val="clear" w:color="auto" w:fill="FFFFFF"/>
          </w:tcPr>
          <w:p w:rsidR="000D08A1" w:rsidRPr="00CB405A" w:rsidRDefault="000D08A1" w:rsidP="00880282">
            <w:pPr>
              <w:spacing w:after="120"/>
              <w:rPr>
                <w:rFonts w:ascii="GHEA Grapalat" w:hAnsi="GHEA Grapalat"/>
              </w:rPr>
            </w:pP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55"/>
              <w:jc w:val="left"/>
              <w:rPr>
                <w:rStyle w:val="Bodytext215pt"/>
                <w:rFonts w:ascii="GHEA Grapalat" w:hAnsi="GHEA Grapalat"/>
                <w:sz w:val="24"/>
                <w:szCs w:val="24"/>
              </w:rPr>
            </w:pPr>
            <w:r w:rsidRPr="00CB405A">
              <w:rPr>
                <w:rStyle w:val="Bodytext215pt"/>
                <w:rFonts w:ascii="GHEA Grapalat" w:hAnsi="GHEA Grapalat"/>
                <w:sz w:val="24"/>
                <w:szCs w:val="24"/>
              </w:rPr>
              <w:t>3.2.1. Էլեկտրոնային փաստաթղթերում պարունակվող՝ արտաքին տնտեսական գործունեություն իրականացնելու համար անհրաժեշտ փաստաթղթերում առկա տեղեկությունների միասնականացում եւ ներդաշնակեցում՝ միջազգային չափորոշիչների հիման վրա ստեղծված՝ Միության տվյալների մոդելի հիման վրա՝ պետական կարգավորման հետեւյալ ոլորտներում.</w:t>
            </w:r>
          </w:p>
          <w:p w:rsidR="000D08A1" w:rsidRPr="00CB405A" w:rsidRDefault="000D08A1" w:rsidP="00880282">
            <w:pPr>
              <w:pStyle w:val="Bodytext20"/>
              <w:shd w:val="clear" w:color="auto" w:fill="auto"/>
              <w:spacing w:before="0" w:after="120" w:line="240" w:lineRule="auto"/>
              <w:ind w:left="238" w:firstLine="425"/>
              <w:jc w:val="left"/>
              <w:rPr>
                <w:rStyle w:val="Bodytext215pt"/>
                <w:rFonts w:ascii="GHEA Grapalat" w:hAnsi="GHEA Grapalat"/>
                <w:sz w:val="24"/>
                <w:szCs w:val="24"/>
              </w:rPr>
            </w:pPr>
            <w:r w:rsidRPr="00CB405A">
              <w:rPr>
                <w:rStyle w:val="Bodytext215pt"/>
                <w:rFonts w:ascii="GHEA Grapalat" w:hAnsi="GHEA Grapalat"/>
                <w:sz w:val="24"/>
                <w:szCs w:val="24"/>
              </w:rPr>
              <w:t xml:space="preserve">մաքսային կարգավորում, </w:t>
            </w:r>
          </w:p>
          <w:p w:rsidR="000D08A1" w:rsidRPr="00CB405A" w:rsidRDefault="000D08A1" w:rsidP="00880282">
            <w:pPr>
              <w:pStyle w:val="Bodytext20"/>
              <w:shd w:val="clear" w:color="auto" w:fill="auto"/>
              <w:spacing w:before="0" w:after="120" w:line="240" w:lineRule="auto"/>
              <w:ind w:left="238" w:firstLine="425"/>
              <w:jc w:val="left"/>
              <w:rPr>
                <w:rStyle w:val="Bodytext215pt"/>
                <w:rFonts w:ascii="GHEA Grapalat" w:hAnsi="GHEA Grapalat"/>
                <w:sz w:val="24"/>
                <w:szCs w:val="24"/>
              </w:rPr>
            </w:pPr>
            <w:r w:rsidRPr="00CB405A">
              <w:rPr>
                <w:rStyle w:val="Bodytext215pt"/>
                <w:rFonts w:ascii="GHEA Grapalat" w:hAnsi="GHEA Grapalat"/>
                <w:sz w:val="24"/>
                <w:szCs w:val="24"/>
              </w:rPr>
              <w:lastRenderedPageBreak/>
              <w:t xml:space="preserve">արժութային կարգավորում, </w:t>
            </w:r>
          </w:p>
          <w:p w:rsidR="000D08A1" w:rsidRPr="00CB405A" w:rsidRDefault="000D08A1" w:rsidP="00880282">
            <w:pPr>
              <w:pStyle w:val="Bodytext20"/>
              <w:shd w:val="clear" w:color="auto" w:fill="auto"/>
              <w:spacing w:before="0" w:after="120" w:line="240" w:lineRule="auto"/>
              <w:ind w:left="238" w:firstLine="425"/>
              <w:jc w:val="left"/>
              <w:rPr>
                <w:rStyle w:val="Bodytext215pt"/>
                <w:rFonts w:ascii="GHEA Grapalat" w:hAnsi="GHEA Grapalat"/>
                <w:sz w:val="24"/>
                <w:szCs w:val="24"/>
              </w:rPr>
            </w:pPr>
            <w:r w:rsidRPr="00CB405A">
              <w:rPr>
                <w:rStyle w:val="Bodytext215pt"/>
                <w:rFonts w:ascii="GHEA Grapalat" w:hAnsi="GHEA Grapalat"/>
                <w:sz w:val="24"/>
                <w:szCs w:val="24"/>
              </w:rPr>
              <w:t xml:space="preserve">հարկային կարգավորում, </w:t>
            </w:r>
          </w:p>
          <w:p w:rsidR="000D08A1" w:rsidRPr="00CB405A" w:rsidRDefault="000D08A1" w:rsidP="00880282">
            <w:pPr>
              <w:pStyle w:val="Bodytext20"/>
              <w:shd w:val="clear" w:color="auto" w:fill="auto"/>
              <w:spacing w:before="0" w:after="120" w:line="240" w:lineRule="auto"/>
              <w:ind w:left="238" w:firstLine="425"/>
              <w:jc w:val="left"/>
              <w:rPr>
                <w:rStyle w:val="Bodytext215pt"/>
                <w:rFonts w:ascii="GHEA Grapalat" w:hAnsi="GHEA Grapalat"/>
                <w:sz w:val="24"/>
                <w:szCs w:val="24"/>
              </w:rPr>
            </w:pPr>
            <w:r w:rsidRPr="00CB405A">
              <w:rPr>
                <w:rStyle w:val="Bodytext215pt"/>
                <w:rFonts w:ascii="GHEA Grapalat" w:hAnsi="GHEA Grapalat"/>
                <w:sz w:val="24"/>
                <w:szCs w:val="24"/>
              </w:rPr>
              <w:t xml:space="preserve">մաքսասակագնային կարգավորում, </w:t>
            </w:r>
          </w:p>
          <w:p w:rsidR="000D08A1" w:rsidRPr="00CB405A" w:rsidRDefault="000D08A1" w:rsidP="00880282">
            <w:pPr>
              <w:pStyle w:val="Bodytext20"/>
              <w:shd w:val="clear" w:color="auto" w:fill="auto"/>
              <w:spacing w:before="0" w:after="120" w:line="240" w:lineRule="auto"/>
              <w:ind w:left="238" w:firstLine="425"/>
              <w:jc w:val="left"/>
              <w:rPr>
                <w:rStyle w:val="Bodytext215pt"/>
                <w:rFonts w:ascii="GHEA Grapalat" w:hAnsi="GHEA Grapalat"/>
                <w:sz w:val="24"/>
                <w:szCs w:val="24"/>
              </w:rPr>
            </w:pPr>
            <w:r w:rsidRPr="00CB405A">
              <w:rPr>
                <w:rStyle w:val="Bodytext215pt"/>
                <w:rFonts w:ascii="GHEA Grapalat" w:hAnsi="GHEA Grapalat"/>
                <w:sz w:val="24"/>
                <w:szCs w:val="24"/>
              </w:rPr>
              <w:t xml:space="preserve">ոչ սակագնային կարգավորում, </w:t>
            </w:r>
          </w:p>
          <w:p w:rsidR="000D08A1" w:rsidRPr="00CB405A" w:rsidRDefault="000D08A1" w:rsidP="00880282">
            <w:pPr>
              <w:pStyle w:val="Bodytext20"/>
              <w:shd w:val="clear" w:color="auto" w:fill="auto"/>
              <w:spacing w:before="0" w:after="120" w:line="240" w:lineRule="auto"/>
              <w:ind w:left="238" w:firstLine="425"/>
              <w:jc w:val="left"/>
              <w:rPr>
                <w:rStyle w:val="Bodytext215pt"/>
                <w:rFonts w:ascii="GHEA Grapalat" w:hAnsi="GHEA Grapalat"/>
                <w:sz w:val="24"/>
                <w:szCs w:val="24"/>
              </w:rPr>
            </w:pPr>
            <w:r w:rsidRPr="00CB405A">
              <w:rPr>
                <w:rStyle w:val="Bodytext215pt"/>
                <w:rFonts w:ascii="GHEA Grapalat" w:hAnsi="GHEA Grapalat"/>
                <w:sz w:val="24"/>
                <w:szCs w:val="24"/>
              </w:rPr>
              <w:t xml:space="preserve">տեխնիկական կարգավորում, </w:t>
            </w:r>
          </w:p>
          <w:p w:rsidR="000D08A1" w:rsidRPr="00CB405A" w:rsidRDefault="000D08A1" w:rsidP="00880282">
            <w:pPr>
              <w:pStyle w:val="Bodytext20"/>
              <w:shd w:val="clear" w:color="auto" w:fill="auto"/>
              <w:spacing w:before="0" w:after="120" w:line="240" w:lineRule="auto"/>
              <w:ind w:left="238" w:firstLine="425"/>
              <w:jc w:val="left"/>
              <w:rPr>
                <w:rFonts w:ascii="GHEA Grapalat" w:hAnsi="GHEA Grapalat"/>
                <w:sz w:val="24"/>
                <w:szCs w:val="24"/>
              </w:rPr>
            </w:pPr>
            <w:r w:rsidRPr="00CB405A">
              <w:rPr>
                <w:rStyle w:val="Bodytext215pt"/>
                <w:rFonts w:ascii="GHEA Grapalat" w:hAnsi="GHEA Grapalat"/>
                <w:sz w:val="24"/>
                <w:szCs w:val="24"/>
              </w:rPr>
              <w:t>սանիտարական, անասնաբուժասանիտարական, կարանտինային բուսասանիտարական միջոցներ,</w:t>
            </w:r>
          </w:p>
          <w:p w:rsidR="000D08A1" w:rsidRPr="00CB405A" w:rsidRDefault="000D08A1" w:rsidP="00880282">
            <w:pPr>
              <w:pStyle w:val="Bodytext20"/>
              <w:shd w:val="clear" w:color="auto" w:fill="auto"/>
              <w:spacing w:before="0" w:after="120" w:line="240" w:lineRule="auto"/>
              <w:ind w:left="238" w:firstLine="425"/>
              <w:jc w:val="left"/>
              <w:rPr>
                <w:rStyle w:val="Bodytext215pt"/>
                <w:rFonts w:ascii="GHEA Grapalat" w:hAnsi="GHEA Grapalat"/>
                <w:sz w:val="24"/>
                <w:szCs w:val="24"/>
              </w:rPr>
            </w:pPr>
            <w:r w:rsidRPr="00CB405A">
              <w:rPr>
                <w:rStyle w:val="Bodytext215pt"/>
                <w:rFonts w:ascii="GHEA Grapalat" w:hAnsi="GHEA Grapalat"/>
                <w:sz w:val="24"/>
                <w:szCs w:val="24"/>
              </w:rPr>
              <w:t xml:space="preserve">ֆինանսական ծառայություններ (բանկային, ապահովագրական), </w:t>
            </w:r>
          </w:p>
          <w:p w:rsidR="000D08A1" w:rsidRPr="00CB405A" w:rsidRDefault="000D08A1" w:rsidP="00880282">
            <w:pPr>
              <w:pStyle w:val="Bodytext20"/>
              <w:shd w:val="clear" w:color="auto" w:fill="auto"/>
              <w:spacing w:before="0" w:after="120" w:line="240" w:lineRule="auto"/>
              <w:ind w:left="238" w:firstLine="425"/>
              <w:jc w:val="left"/>
              <w:rPr>
                <w:rStyle w:val="Bodytext215pt"/>
                <w:rFonts w:ascii="GHEA Grapalat" w:hAnsi="GHEA Grapalat"/>
                <w:sz w:val="24"/>
                <w:szCs w:val="24"/>
              </w:rPr>
            </w:pPr>
            <w:r w:rsidRPr="00CB405A">
              <w:rPr>
                <w:rStyle w:val="Bodytext215pt"/>
                <w:rFonts w:ascii="GHEA Grapalat" w:hAnsi="GHEA Grapalat"/>
                <w:sz w:val="24"/>
                <w:szCs w:val="24"/>
              </w:rPr>
              <w:t xml:space="preserve">տրանսպորտ ու փոխադրումներ, </w:t>
            </w:r>
          </w:p>
          <w:p w:rsidR="000D08A1" w:rsidRPr="00CB405A" w:rsidRDefault="000D08A1" w:rsidP="00880282">
            <w:pPr>
              <w:pStyle w:val="Bodytext20"/>
              <w:shd w:val="clear" w:color="auto" w:fill="auto"/>
              <w:spacing w:before="0" w:after="120" w:line="240" w:lineRule="auto"/>
              <w:ind w:left="238" w:firstLine="425"/>
              <w:jc w:val="left"/>
              <w:rPr>
                <w:rFonts w:ascii="GHEA Grapalat" w:hAnsi="GHEA Grapalat"/>
                <w:sz w:val="24"/>
                <w:szCs w:val="24"/>
              </w:rPr>
            </w:pPr>
            <w:r w:rsidRPr="00CB405A">
              <w:rPr>
                <w:rStyle w:val="Bodytext215pt"/>
                <w:rFonts w:ascii="GHEA Grapalat" w:hAnsi="GHEA Grapalat"/>
                <w:sz w:val="24"/>
                <w:szCs w:val="24"/>
              </w:rPr>
              <w:t>մտավոր սեփականության իրավունքների պահպանություն եւ պաշտպանություն</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lastRenderedPageBreak/>
              <w:t>2015 թվականի դեկտեմբեր</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Միության մարմինների ակտեր</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lastRenderedPageBreak/>
              <w:t>3.3. Անցում արտաքին տնտեսական գործունեություն իրականացնելու համար անհրաժեշտ էլեկտրոնային փաստաթղթերն անդամ պետությունների լիազոր մարմինների կողմից ձեւակերպելուն եւ օգտագործելուն</w:t>
            </w:r>
          </w:p>
        </w:tc>
        <w:tc>
          <w:tcPr>
            <w:tcW w:w="2515" w:type="dxa"/>
            <w:shd w:val="clear" w:color="auto" w:fill="FFFFFF"/>
          </w:tcPr>
          <w:p w:rsidR="000D08A1" w:rsidRPr="00CB405A" w:rsidRDefault="000D08A1" w:rsidP="00880282">
            <w:pPr>
              <w:spacing w:after="120"/>
              <w:rPr>
                <w:rFonts w:ascii="GHEA Grapalat" w:hAnsi="GHEA Grapalat"/>
              </w:rPr>
            </w:pPr>
          </w:p>
        </w:tc>
        <w:tc>
          <w:tcPr>
            <w:tcW w:w="3118" w:type="dxa"/>
            <w:shd w:val="clear" w:color="auto" w:fill="FFFFFF"/>
          </w:tcPr>
          <w:p w:rsidR="000D08A1" w:rsidRPr="00CB405A" w:rsidRDefault="000D08A1" w:rsidP="00880282">
            <w:pPr>
              <w:spacing w:after="120"/>
              <w:rPr>
                <w:rFonts w:ascii="GHEA Grapalat" w:hAnsi="GHEA Grapalat"/>
              </w:rPr>
            </w:pPr>
          </w:p>
        </w:tc>
        <w:tc>
          <w:tcPr>
            <w:tcW w:w="3462" w:type="dxa"/>
            <w:shd w:val="clear" w:color="auto" w:fill="FFFFFF"/>
          </w:tcPr>
          <w:p w:rsidR="000D08A1" w:rsidRPr="00CB405A" w:rsidRDefault="000D08A1" w:rsidP="00880282">
            <w:pPr>
              <w:spacing w:after="120"/>
              <w:rPr>
                <w:rFonts w:ascii="GHEA Grapalat" w:hAnsi="GHEA Grapalat"/>
              </w:rPr>
            </w:pP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00"/>
              <w:jc w:val="left"/>
              <w:rPr>
                <w:rFonts w:ascii="GHEA Grapalat" w:hAnsi="GHEA Grapalat"/>
                <w:sz w:val="24"/>
                <w:szCs w:val="24"/>
              </w:rPr>
            </w:pPr>
            <w:r w:rsidRPr="00CB405A">
              <w:rPr>
                <w:rStyle w:val="Bodytext215pt"/>
                <w:rFonts w:ascii="GHEA Grapalat" w:hAnsi="GHEA Grapalat"/>
                <w:sz w:val="24"/>
                <w:szCs w:val="24"/>
              </w:rPr>
              <w:t xml:space="preserve">3.3.1. Արտաքին տնտեսական գործունեություն իրականացնելու համար անհրաժեշտ էլեկտրոնային փաստաթղթերի ձեւաչափի եւ կառուցվածքների պարտադիր հաստատման </w:t>
            </w:r>
            <w:r w:rsidRPr="00CB405A">
              <w:rPr>
                <w:rStyle w:val="Bodytext215pt"/>
                <w:rFonts w:ascii="GHEA Grapalat" w:hAnsi="GHEA Grapalat"/>
                <w:sz w:val="24"/>
                <w:szCs w:val="24"/>
              </w:rPr>
              <w:lastRenderedPageBreak/>
              <w:t xml:space="preserve">մասին դրույթների ամրագրում Միության իրավունքի մաս կազմող ակտերում </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lastRenderedPageBreak/>
              <w:t>2015 թվականի դեկտեմբեր</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0837C4">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Միության մարմինների ակտեր</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00"/>
              <w:jc w:val="left"/>
              <w:rPr>
                <w:rFonts w:ascii="GHEA Grapalat" w:hAnsi="GHEA Grapalat"/>
                <w:sz w:val="24"/>
                <w:szCs w:val="24"/>
              </w:rPr>
            </w:pPr>
            <w:r w:rsidRPr="00CB405A">
              <w:rPr>
                <w:rStyle w:val="Bodytext215pt"/>
                <w:rFonts w:ascii="GHEA Grapalat" w:hAnsi="GHEA Grapalat"/>
                <w:sz w:val="24"/>
                <w:szCs w:val="24"/>
              </w:rPr>
              <w:lastRenderedPageBreak/>
              <w:t>3.3.2. «Մեկ պատուհանի» ազգային մեխանիզմների զարգացման վրա ազդեցություն ունեցող՝ արտաքին տնտեսական գործունեություն իրականացնելու համար անհրաժեշտ փաստաթղթերի ձեւակերպման եւ օգտագործման հետ կապված՝ Միության իրավունքի մաս կազմող ակտերի նախագծերի համաձայնեցումը համակարգելու կարգի սահմանում</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դեկտեմբեր</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0837C4">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Միության մարմինների ակտեր</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00"/>
              <w:jc w:val="left"/>
              <w:rPr>
                <w:rFonts w:ascii="GHEA Grapalat" w:hAnsi="GHEA Grapalat"/>
                <w:sz w:val="24"/>
                <w:szCs w:val="24"/>
              </w:rPr>
            </w:pPr>
            <w:r w:rsidRPr="00CB405A">
              <w:rPr>
                <w:rStyle w:val="Bodytext215pt"/>
                <w:rFonts w:ascii="GHEA Grapalat" w:hAnsi="GHEA Grapalat"/>
                <w:sz w:val="24"/>
                <w:szCs w:val="24"/>
              </w:rPr>
              <w:t>3.3.3. Միջազգային պայմանագրի մշակում, որով սահմանվում են այն դեպքերը, երբ Հանձնաժողովը սահմանում է էլեկտրոնային եղանակով միջպետական տեղեկատվական փոխգործակցության գործընթացում ներկայացվող տեղեկությունների ցանկը</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դեկտեմբեր</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0837C4">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միջազգային պայմանագրի նախագիծ</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00"/>
              <w:jc w:val="left"/>
              <w:rPr>
                <w:rStyle w:val="Bodytext215pt"/>
                <w:rFonts w:ascii="GHEA Grapalat" w:hAnsi="GHEA Grapalat"/>
                <w:sz w:val="24"/>
                <w:szCs w:val="24"/>
              </w:rPr>
            </w:pPr>
            <w:r w:rsidRPr="00CB405A">
              <w:rPr>
                <w:rStyle w:val="Bodytext215pt"/>
                <w:rFonts w:ascii="GHEA Grapalat" w:hAnsi="GHEA Grapalat"/>
                <w:sz w:val="24"/>
                <w:szCs w:val="24"/>
              </w:rPr>
              <w:t xml:space="preserve">3.3.4. Արտաքին տնտեսական գործունեություն իրականացնելու համար անհրաժեշտ էլեկտրոնային փաստաթղթերի ձեւակերպման եւ օգտագործման մասով Միության իրավունքի մաս կազմող ակտերում եւ անդամ պետությունների օրենսդրության մեջ փոփոխությունների կատարում պետական կարգավորման հետեւյալ </w:t>
            </w:r>
            <w:r w:rsidRPr="00CB405A">
              <w:rPr>
                <w:rStyle w:val="Bodytext215pt"/>
                <w:rFonts w:ascii="GHEA Grapalat" w:hAnsi="GHEA Grapalat"/>
                <w:sz w:val="24"/>
                <w:szCs w:val="24"/>
              </w:rPr>
              <w:lastRenderedPageBreak/>
              <w:t>ոլորտներում.</w:t>
            </w:r>
          </w:p>
          <w:p w:rsidR="000D08A1" w:rsidRPr="00CB405A" w:rsidRDefault="000D08A1" w:rsidP="00880282">
            <w:pPr>
              <w:pStyle w:val="Bodytext20"/>
              <w:shd w:val="clear" w:color="auto" w:fill="auto"/>
              <w:spacing w:before="0" w:after="120" w:line="240" w:lineRule="auto"/>
              <w:ind w:left="600"/>
              <w:jc w:val="left"/>
              <w:rPr>
                <w:rStyle w:val="Bodytext215pt"/>
                <w:rFonts w:ascii="GHEA Grapalat" w:hAnsi="GHEA Grapalat"/>
                <w:sz w:val="24"/>
                <w:szCs w:val="24"/>
              </w:rPr>
            </w:pPr>
            <w:r w:rsidRPr="00CB405A">
              <w:rPr>
                <w:rStyle w:val="Bodytext215pt"/>
                <w:rFonts w:ascii="GHEA Grapalat" w:hAnsi="GHEA Grapalat"/>
                <w:sz w:val="24"/>
                <w:szCs w:val="24"/>
              </w:rPr>
              <w:t xml:space="preserve">մաքսային կարգավորում, </w:t>
            </w:r>
          </w:p>
          <w:p w:rsidR="000D08A1" w:rsidRPr="00CB405A" w:rsidRDefault="000D08A1" w:rsidP="00880282">
            <w:pPr>
              <w:pStyle w:val="Bodytext20"/>
              <w:shd w:val="clear" w:color="auto" w:fill="auto"/>
              <w:spacing w:before="0" w:after="120" w:line="240" w:lineRule="auto"/>
              <w:ind w:left="600"/>
              <w:jc w:val="left"/>
              <w:rPr>
                <w:rStyle w:val="Bodytext215pt"/>
                <w:rFonts w:ascii="GHEA Grapalat" w:hAnsi="GHEA Grapalat"/>
                <w:sz w:val="24"/>
                <w:szCs w:val="24"/>
              </w:rPr>
            </w:pPr>
            <w:r w:rsidRPr="00CB405A">
              <w:rPr>
                <w:rStyle w:val="Bodytext215pt"/>
                <w:rFonts w:ascii="GHEA Grapalat" w:hAnsi="GHEA Grapalat"/>
                <w:sz w:val="24"/>
                <w:szCs w:val="24"/>
              </w:rPr>
              <w:t xml:space="preserve">արժութային կարգավորում, </w:t>
            </w:r>
          </w:p>
          <w:p w:rsidR="000D08A1" w:rsidRPr="00CB405A" w:rsidRDefault="000D08A1" w:rsidP="00880282">
            <w:pPr>
              <w:pStyle w:val="Bodytext20"/>
              <w:shd w:val="clear" w:color="auto" w:fill="auto"/>
              <w:spacing w:before="0" w:after="120" w:line="240" w:lineRule="auto"/>
              <w:ind w:left="600"/>
              <w:jc w:val="left"/>
              <w:rPr>
                <w:rStyle w:val="Bodytext215pt"/>
                <w:rFonts w:ascii="GHEA Grapalat" w:hAnsi="GHEA Grapalat"/>
                <w:sz w:val="24"/>
                <w:szCs w:val="24"/>
              </w:rPr>
            </w:pPr>
            <w:r w:rsidRPr="00CB405A">
              <w:rPr>
                <w:rStyle w:val="Bodytext215pt"/>
                <w:rFonts w:ascii="GHEA Grapalat" w:hAnsi="GHEA Grapalat"/>
                <w:sz w:val="24"/>
                <w:szCs w:val="24"/>
              </w:rPr>
              <w:t xml:space="preserve">հարկային կարգավորում, </w:t>
            </w:r>
          </w:p>
          <w:p w:rsidR="000D08A1" w:rsidRPr="00CB405A" w:rsidRDefault="000D08A1" w:rsidP="00880282">
            <w:pPr>
              <w:pStyle w:val="Bodytext20"/>
              <w:shd w:val="clear" w:color="auto" w:fill="auto"/>
              <w:spacing w:before="0" w:after="120" w:line="240" w:lineRule="auto"/>
              <w:ind w:left="600"/>
              <w:jc w:val="left"/>
              <w:rPr>
                <w:rStyle w:val="Bodytext215pt"/>
                <w:rFonts w:ascii="GHEA Grapalat" w:hAnsi="GHEA Grapalat"/>
                <w:sz w:val="24"/>
                <w:szCs w:val="24"/>
              </w:rPr>
            </w:pPr>
            <w:r w:rsidRPr="00CB405A">
              <w:rPr>
                <w:rStyle w:val="Bodytext215pt"/>
                <w:rFonts w:ascii="GHEA Grapalat" w:hAnsi="GHEA Grapalat"/>
                <w:sz w:val="24"/>
                <w:szCs w:val="24"/>
              </w:rPr>
              <w:t xml:space="preserve">մաքսասակագնային կարգավորում, </w:t>
            </w:r>
          </w:p>
          <w:p w:rsidR="000D08A1" w:rsidRPr="00CB405A" w:rsidRDefault="000D08A1" w:rsidP="00880282">
            <w:pPr>
              <w:pStyle w:val="Bodytext20"/>
              <w:shd w:val="clear" w:color="auto" w:fill="auto"/>
              <w:spacing w:before="0" w:after="120" w:line="240" w:lineRule="auto"/>
              <w:ind w:left="600"/>
              <w:jc w:val="left"/>
              <w:rPr>
                <w:rStyle w:val="Bodytext215pt"/>
                <w:rFonts w:ascii="GHEA Grapalat" w:hAnsi="GHEA Grapalat"/>
                <w:sz w:val="24"/>
                <w:szCs w:val="24"/>
              </w:rPr>
            </w:pPr>
            <w:r w:rsidRPr="00CB405A">
              <w:rPr>
                <w:rStyle w:val="Bodytext215pt"/>
                <w:rFonts w:ascii="GHEA Grapalat" w:hAnsi="GHEA Grapalat"/>
                <w:sz w:val="24"/>
                <w:szCs w:val="24"/>
              </w:rPr>
              <w:t xml:space="preserve">ոչ սակագնային կարգավորում, </w:t>
            </w:r>
          </w:p>
          <w:p w:rsidR="000D08A1" w:rsidRPr="00CB405A" w:rsidRDefault="000D08A1" w:rsidP="00880282">
            <w:pPr>
              <w:pStyle w:val="Bodytext20"/>
              <w:shd w:val="clear" w:color="auto" w:fill="auto"/>
              <w:spacing w:before="0" w:after="120" w:line="240" w:lineRule="auto"/>
              <w:ind w:left="600"/>
              <w:jc w:val="left"/>
              <w:rPr>
                <w:rStyle w:val="Bodytext215pt"/>
                <w:rFonts w:ascii="GHEA Grapalat" w:hAnsi="GHEA Grapalat"/>
                <w:sz w:val="24"/>
                <w:szCs w:val="24"/>
              </w:rPr>
            </w:pPr>
            <w:r w:rsidRPr="00CB405A">
              <w:rPr>
                <w:rStyle w:val="Bodytext215pt"/>
                <w:rFonts w:ascii="GHEA Grapalat" w:hAnsi="GHEA Grapalat"/>
                <w:sz w:val="24"/>
                <w:szCs w:val="24"/>
              </w:rPr>
              <w:t xml:space="preserve">տեխնիկական կարգավորում, </w:t>
            </w:r>
          </w:p>
          <w:p w:rsidR="000D08A1" w:rsidRPr="00CB405A" w:rsidRDefault="000D08A1" w:rsidP="00880282">
            <w:pPr>
              <w:pStyle w:val="Bodytext20"/>
              <w:shd w:val="clear" w:color="auto" w:fill="auto"/>
              <w:spacing w:before="0" w:after="120" w:line="240" w:lineRule="auto"/>
              <w:ind w:left="600"/>
              <w:jc w:val="left"/>
              <w:rPr>
                <w:rFonts w:ascii="GHEA Grapalat" w:hAnsi="GHEA Grapalat"/>
                <w:sz w:val="24"/>
                <w:szCs w:val="24"/>
              </w:rPr>
            </w:pPr>
            <w:r w:rsidRPr="00CB405A">
              <w:rPr>
                <w:rStyle w:val="Bodytext215pt"/>
                <w:rFonts w:ascii="GHEA Grapalat" w:hAnsi="GHEA Grapalat"/>
                <w:sz w:val="24"/>
                <w:szCs w:val="24"/>
              </w:rPr>
              <w:t>սանիտարական, անասնաբուժասանիտարական, կարանտինային բուսասանիտարական միջոցներ,</w:t>
            </w:r>
          </w:p>
          <w:p w:rsidR="000D08A1" w:rsidRPr="00CB405A" w:rsidRDefault="000D08A1" w:rsidP="00880282">
            <w:pPr>
              <w:pStyle w:val="Bodytext20"/>
              <w:shd w:val="clear" w:color="auto" w:fill="auto"/>
              <w:spacing w:before="0" w:after="120" w:line="240" w:lineRule="auto"/>
              <w:ind w:left="600" w:firstLine="280"/>
              <w:jc w:val="left"/>
              <w:rPr>
                <w:rFonts w:ascii="GHEA Grapalat" w:hAnsi="GHEA Grapalat"/>
                <w:sz w:val="24"/>
                <w:szCs w:val="24"/>
              </w:rPr>
            </w:pPr>
            <w:r w:rsidRPr="00CB405A">
              <w:rPr>
                <w:rStyle w:val="Bodytext215pt"/>
                <w:rFonts w:ascii="GHEA Grapalat" w:hAnsi="GHEA Grapalat"/>
                <w:sz w:val="24"/>
                <w:szCs w:val="24"/>
              </w:rPr>
              <w:t>ֆինանսական ծառայություններ (բանկային, ապահովագրական),</w:t>
            </w:r>
          </w:p>
          <w:p w:rsidR="000D08A1" w:rsidRPr="00CB405A" w:rsidRDefault="000D08A1" w:rsidP="00880282">
            <w:pPr>
              <w:pStyle w:val="Bodytext20"/>
              <w:shd w:val="clear" w:color="auto" w:fill="auto"/>
              <w:spacing w:before="0" w:after="120" w:line="240" w:lineRule="auto"/>
              <w:ind w:left="600" w:firstLine="280"/>
              <w:jc w:val="left"/>
              <w:rPr>
                <w:rStyle w:val="Bodytext215pt"/>
                <w:rFonts w:ascii="GHEA Grapalat" w:hAnsi="GHEA Grapalat"/>
                <w:sz w:val="24"/>
                <w:szCs w:val="24"/>
              </w:rPr>
            </w:pPr>
            <w:r w:rsidRPr="00CB405A">
              <w:rPr>
                <w:rStyle w:val="Bodytext215pt"/>
                <w:rFonts w:ascii="GHEA Grapalat" w:hAnsi="GHEA Grapalat"/>
                <w:sz w:val="24"/>
                <w:szCs w:val="24"/>
              </w:rPr>
              <w:t xml:space="preserve">տրանսպորտ ու փոխադրումներ, </w:t>
            </w:r>
          </w:p>
          <w:p w:rsidR="000D08A1" w:rsidRPr="00CB405A" w:rsidRDefault="000D08A1" w:rsidP="00880282">
            <w:pPr>
              <w:pStyle w:val="Bodytext20"/>
              <w:shd w:val="clear" w:color="auto" w:fill="auto"/>
              <w:spacing w:before="0" w:after="120" w:line="240" w:lineRule="auto"/>
              <w:ind w:left="600" w:firstLine="280"/>
              <w:jc w:val="left"/>
              <w:rPr>
                <w:rFonts w:ascii="GHEA Grapalat" w:hAnsi="GHEA Grapalat"/>
                <w:sz w:val="24"/>
                <w:szCs w:val="24"/>
              </w:rPr>
            </w:pPr>
            <w:r w:rsidRPr="00CB405A">
              <w:rPr>
                <w:rStyle w:val="Bodytext215pt"/>
                <w:rFonts w:ascii="GHEA Grapalat" w:hAnsi="GHEA Grapalat"/>
                <w:sz w:val="24"/>
                <w:szCs w:val="24"/>
              </w:rPr>
              <w:t>մտավոր սեփականության իրավունքների պահպանություն եւ պաշտպանություն</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lastRenderedPageBreak/>
              <w:t>2015 թվականի դեկտեմբեր</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Միության մարմինների ակտեր, անդամ պետությունների օրենսդրության մեջ փոփոխությունների կատարում</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140"/>
              <w:jc w:val="left"/>
              <w:rPr>
                <w:rFonts w:ascii="GHEA Grapalat" w:hAnsi="GHEA Grapalat"/>
                <w:sz w:val="24"/>
                <w:szCs w:val="24"/>
              </w:rPr>
            </w:pPr>
            <w:r w:rsidRPr="00CB405A">
              <w:rPr>
                <w:rStyle w:val="Bodytext215pt"/>
                <w:rFonts w:ascii="GHEA Grapalat" w:hAnsi="GHEA Grapalat"/>
                <w:sz w:val="24"/>
                <w:szCs w:val="24"/>
              </w:rPr>
              <w:lastRenderedPageBreak/>
              <w:t>3.5. Արտաքին տնտեսական գործունեության սուբյեկտների եզակի նույնականացումն ապահովելու կարգի սահմանում</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IV եռամսյակ</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Միության մարմնի ակտ</w:t>
            </w:r>
          </w:p>
        </w:tc>
      </w:tr>
      <w:tr w:rsidR="000D08A1" w:rsidRPr="00CB405A" w:rsidTr="000837C4">
        <w:trPr>
          <w:jc w:val="center"/>
        </w:trPr>
        <w:tc>
          <w:tcPr>
            <w:tcW w:w="15351" w:type="dxa"/>
            <w:gridSpan w:val="4"/>
            <w:shd w:val="clear" w:color="auto" w:fill="FFFFFF"/>
          </w:tcPr>
          <w:p w:rsidR="000D08A1" w:rsidRPr="00CB405A" w:rsidRDefault="000D08A1" w:rsidP="00880282">
            <w:pPr>
              <w:pStyle w:val="Bodytext20"/>
              <w:shd w:val="clear" w:color="auto" w:fill="auto"/>
              <w:spacing w:before="0" w:after="120" w:line="240" w:lineRule="auto"/>
              <w:jc w:val="center"/>
              <w:rPr>
                <w:rStyle w:val="Bodytext215pt"/>
                <w:rFonts w:ascii="GHEA Grapalat" w:hAnsi="GHEA Grapalat"/>
                <w:sz w:val="24"/>
                <w:szCs w:val="24"/>
              </w:rPr>
            </w:pPr>
            <w:r w:rsidRPr="00CB405A">
              <w:rPr>
                <w:rStyle w:val="Bodytext215pt"/>
                <w:rFonts w:ascii="GHEA Grapalat" w:hAnsi="GHEA Grapalat"/>
                <w:sz w:val="24"/>
                <w:szCs w:val="24"/>
              </w:rPr>
              <w:t>4. Տեղեկատվական փոխգործակցության կազմակերպում</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 xml:space="preserve">4.1. «Մեկ պատուհանի» ազգային մեխանիզմների </w:t>
            </w:r>
            <w:r w:rsidRPr="00CB405A">
              <w:rPr>
                <w:rStyle w:val="Bodytext215pt"/>
                <w:rFonts w:ascii="GHEA Grapalat" w:hAnsi="GHEA Grapalat"/>
                <w:sz w:val="24"/>
                <w:szCs w:val="24"/>
              </w:rPr>
              <w:lastRenderedPageBreak/>
              <w:t>շրջանակներում շահագրգիռ անձանց եւ անդամ պետությունների պետական մարմինների փոխգործակցության ընթացակարգերի միասնականացում</w:t>
            </w:r>
          </w:p>
        </w:tc>
        <w:tc>
          <w:tcPr>
            <w:tcW w:w="2515" w:type="dxa"/>
            <w:shd w:val="clear" w:color="auto" w:fill="FFFFFF"/>
          </w:tcPr>
          <w:p w:rsidR="000D08A1" w:rsidRPr="00CB405A" w:rsidRDefault="000D08A1" w:rsidP="00880282">
            <w:pPr>
              <w:spacing w:after="120"/>
              <w:rPr>
                <w:rFonts w:ascii="GHEA Grapalat" w:hAnsi="GHEA Grapalat"/>
              </w:rPr>
            </w:pPr>
          </w:p>
        </w:tc>
        <w:tc>
          <w:tcPr>
            <w:tcW w:w="3118" w:type="dxa"/>
            <w:shd w:val="clear" w:color="auto" w:fill="FFFFFF"/>
          </w:tcPr>
          <w:p w:rsidR="000D08A1" w:rsidRPr="00CB405A" w:rsidRDefault="000D08A1" w:rsidP="00880282">
            <w:pPr>
              <w:spacing w:after="120"/>
              <w:rPr>
                <w:rFonts w:ascii="GHEA Grapalat" w:hAnsi="GHEA Grapalat"/>
              </w:rPr>
            </w:pPr>
          </w:p>
        </w:tc>
        <w:tc>
          <w:tcPr>
            <w:tcW w:w="3462" w:type="dxa"/>
            <w:shd w:val="clear" w:color="auto" w:fill="FFFFFF"/>
          </w:tcPr>
          <w:p w:rsidR="000D08A1" w:rsidRPr="00CB405A" w:rsidRDefault="000D08A1" w:rsidP="00880282">
            <w:pPr>
              <w:spacing w:after="120"/>
              <w:rPr>
                <w:rFonts w:ascii="GHEA Grapalat" w:hAnsi="GHEA Grapalat"/>
              </w:rPr>
            </w:pP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00"/>
              <w:jc w:val="left"/>
              <w:rPr>
                <w:rFonts w:ascii="GHEA Grapalat" w:hAnsi="GHEA Grapalat"/>
                <w:sz w:val="24"/>
                <w:szCs w:val="24"/>
              </w:rPr>
            </w:pPr>
            <w:r w:rsidRPr="00CB405A">
              <w:rPr>
                <w:rStyle w:val="Bodytext215pt"/>
                <w:rFonts w:ascii="GHEA Grapalat" w:hAnsi="GHEA Grapalat"/>
                <w:sz w:val="24"/>
                <w:szCs w:val="24"/>
              </w:rPr>
              <w:lastRenderedPageBreak/>
              <w:t>4.1.1. Անդամ պետությունների պետական մարմինների եւ (կամ) լիազորված կազմակերպությունների հետ շահագրգիռ անձանց տեղեկատվական փոխգործակցությունը նախատեսող մասով Միության իրավունքի մաս կազմող ակտերի եւ անդամ պետությունների օրենսդրության վերլուծություն՝ «մեկ պատուհանի» ազգային մեխանիզմների գործունեության շրջանակներում այդպիսի մարմիններին եւ (կամ) կազմակերպություններին տեղեկություններ տրամադրելիս (այսուհետ՝ В2G ընթացակարգեր)</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հուլիս-օգոստոս</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հաշվետվություն</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00"/>
              <w:jc w:val="left"/>
              <w:rPr>
                <w:rFonts w:ascii="GHEA Grapalat" w:hAnsi="GHEA Grapalat"/>
                <w:sz w:val="24"/>
                <w:szCs w:val="24"/>
              </w:rPr>
            </w:pPr>
            <w:r w:rsidRPr="00CB405A">
              <w:rPr>
                <w:rStyle w:val="Bodytext215pt"/>
                <w:rFonts w:ascii="GHEA Grapalat" w:hAnsi="GHEA Grapalat"/>
                <w:sz w:val="24"/>
                <w:szCs w:val="24"/>
              </w:rPr>
              <w:t>4.1.2. «Մեկ պատուհանի» ազգային մեխանիզմների զարգացման ծրագրերի ընդգրկման ոլորտում ներառված В2G ընթացակարգերի ցանկի թարմացման վերաբերյալ առաջարկների նախապատրաստում</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հուլիս-օգոստոս</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հաշվետվություն</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00"/>
              <w:jc w:val="left"/>
              <w:rPr>
                <w:rFonts w:ascii="GHEA Grapalat" w:hAnsi="GHEA Grapalat"/>
                <w:sz w:val="24"/>
                <w:szCs w:val="24"/>
              </w:rPr>
            </w:pPr>
            <w:r w:rsidRPr="00CB405A">
              <w:rPr>
                <w:rStyle w:val="Bodytext215pt"/>
                <w:rFonts w:ascii="GHEA Grapalat" w:hAnsi="GHEA Grapalat"/>
                <w:sz w:val="24"/>
                <w:szCs w:val="24"/>
              </w:rPr>
              <w:t xml:space="preserve">4.1.3. «Մեկ պատուհանի» ազգային մեխանիզմների զարգացման ծրագրերի ընդգրկման ոլորտում ներառված В2G </w:t>
            </w:r>
            <w:r w:rsidRPr="00CB405A">
              <w:rPr>
                <w:rStyle w:val="Bodytext215pt"/>
                <w:rFonts w:ascii="GHEA Grapalat" w:hAnsi="GHEA Grapalat"/>
                <w:sz w:val="24"/>
                <w:szCs w:val="24"/>
              </w:rPr>
              <w:lastRenderedPageBreak/>
              <w:t>ընթացակարգերի իրագործման վերաբերյալ հաշվետվությունների նախապատրաստում</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lastRenderedPageBreak/>
              <w:t>2015 թվականի սեպտեմբեր</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հաշվետվություններ</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00"/>
              <w:jc w:val="left"/>
              <w:rPr>
                <w:rFonts w:ascii="GHEA Grapalat" w:hAnsi="GHEA Grapalat"/>
                <w:sz w:val="24"/>
                <w:szCs w:val="24"/>
              </w:rPr>
            </w:pPr>
            <w:r w:rsidRPr="00CB405A">
              <w:rPr>
                <w:rStyle w:val="Bodytext215pt"/>
                <w:rFonts w:ascii="GHEA Grapalat" w:hAnsi="GHEA Grapalat"/>
                <w:sz w:val="24"/>
                <w:szCs w:val="24"/>
              </w:rPr>
              <w:lastRenderedPageBreak/>
              <w:t>4.1.4. «Մեկ պատուհանի» ազգային մեխանիզմների գործունեության շրջանակներում В2G ընթացակարգերի միասնականացման համար առաջնահերթ համարվող ցանկի թարմացման վերաբերյալ առաջարկների նախապատրաստում</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սեպտեմբեր</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Միության մարմնի ակտ</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00"/>
              <w:jc w:val="left"/>
              <w:rPr>
                <w:rFonts w:ascii="GHEA Grapalat" w:hAnsi="GHEA Grapalat"/>
                <w:sz w:val="24"/>
                <w:szCs w:val="24"/>
              </w:rPr>
            </w:pPr>
            <w:r w:rsidRPr="00CB405A">
              <w:rPr>
                <w:rStyle w:val="Bodytext215pt"/>
                <w:rFonts w:ascii="GHEA Grapalat" w:hAnsi="GHEA Grapalat"/>
                <w:sz w:val="24"/>
                <w:szCs w:val="24"/>
              </w:rPr>
              <w:t>4.1.5. «Մեկ պատուհանի» ազգային մեխանիզմների գործունեության շրջանակներում միասնականացվող В2G ընթացակարգերի կանոնակարգում</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դեկտեմբեր</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Միության մարմնի ակտ</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00"/>
              <w:jc w:val="left"/>
              <w:rPr>
                <w:rFonts w:ascii="GHEA Grapalat" w:hAnsi="GHEA Grapalat"/>
                <w:sz w:val="24"/>
                <w:szCs w:val="24"/>
              </w:rPr>
            </w:pPr>
            <w:r w:rsidRPr="00CB405A">
              <w:rPr>
                <w:rStyle w:val="Bodytext215pt"/>
                <w:rFonts w:ascii="GHEA Grapalat" w:hAnsi="GHEA Grapalat"/>
                <w:sz w:val="24"/>
                <w:szCs w:val="24"/>
              </w:rPr>
              <w:t>4.1.6. «Մեկ պատուհանի» ազգային մեխանիզմների գործունեության շրջանակներում B2G ընթացակարգերի իրագործում՝ վերազգային մակարդակում սահմանված միասնականացված պահանջներին համապատասխան</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դեկտեմբեր</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միջոցառումների պլաններ (ազգային), հաշվետվություններ</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140"/>
              <w:jc w:val="left"/>
              <w:rPr>
                <w:rFonts w:ascii="GHEA Grapalat" w:hAnsi="GHEA Grapalat"/>
                <w:sz w:val="24"/>
                <w:szCs w:val="24"/>
              </w:rPr>
            </w:pPr>
            <w:r w:rsidRPr="00CB405A">
              <w:rPr>
                <w:rStyle w:val="Bodytext215pt"/>
                <w:rFonts w:ascii="GHEA Grapalat" w:hAnsi="GHEA Grapalat"/>
                <w:sz w:val="24"/>
                <w:szCs w:val="24"/>
              </w:rPr>
              <w:t>4.2. «Մեկ պատուհանի» ազգային մեխանիզմների գործունեության շրջանակներում միջգերատեսչական տեղեկատվական փոխգործակցության ընթացակարգերի օպտիմալացում</w:t>
            </w:r>
          </w:p>
        </w:tc>
        <w:tc>
          <w:tcPr>
            <w:tcW w:w="2515" w:type="dxa"/>
            <w:shd w:val="clear" w:color="auto" w:fill="FFFFFF"/>
          </w:tcPr>
          <w:p w:rsidR="000D08A1" w:rsidRPr="00CB405A" w:rsidRDefault="000D08A1" w:rsidP="00880282">
            <w:pPr>
              <w:spacing w:after="120"/>
              <w:rPr>
                <w:rFonts w:ascii="GHEA Grapalat" w:hAnsi="GHEA Grapalat"/>
              </w:rPr>
            </w:pPr>
          </w:p>
        </w:tc>
        <w:tc>
          <w:tcPr>
            <w:tcW w:w="3118" w:type="dxa"/>
            <w:shd w:val="clear" w:color="auto" w:fill="FFFFFF"/>
          </w:tcPr>
          <w:p w:rsidR="000D08A1" w:rsidRPr="00CB405A" w:rsidRDefault="000D08A1" w:rsidP="00880282">
            <w:pPr>
              <w:spacing w:after="120"/>
              <w:rPr>
                <w:rFonts w:ascii="GHEA Grapalat" w:hAnsi="GHEA Grapalat"/>
              </w:rPr>
            </w:pPr>
          </w:p>
        </w:tc>
        <w:tc>
          <w:tcPr>
            <w:tcW w:w="3462" w:type="dxa"/>
            <w:shd w:val="clear" w:color="auto" w:fill="FFFFFF"/>
          </w:tcPr>
          <w:p w:rsidR="000D08A1" w:rsidRPr="00CB405A" w:rsidRDefault="000D08A1" w:rsidP="00880282">
            <w:pPr>
              <w:spacing w:after="120"/>
              <w:rPr>
                <w:rFonts w:ascii="GHEA Grapalat" w:hAnsi="GHEA Grapalat"/>
              </w:rPr>
            </w:pP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599" w:right="108"/>
              <w:jc w:val="left"/>
              <w:rPr>
                <w:rFonts w:ascii="GHEA Grapalat" w:hAnsi="GHEA Grapalat"/>
                <w:sz w:val="24"/>
                <w:szCs w:val="24"/>
              </w:rPr>
            </w:pPr>
            <w:r w:rsidRPr="00CB405A">
              <w:rPr>
                <w:rStyle w:val="Bodytext215pt"/>
                <w:rFonts w:ascii="GHEA Grapalat" w:hAnsi="GHEA Grapalat"/>
                <w:sz w:val="24"/>
                <w:szCs w:val="24"/>
              </w:rPr>
              <w:t xml:space="preserve">4.2.1. «Մեկ պատուհանի» ազգային մեխանիզմների գործունեության շրջանակներում </w:t>
            </w:r>
            <w:r w:rsidRPr="00CB405A">
              <w:rPr>
                <w:rStyle w:val="Bodytext215pt"/>
                <w:rFonts w:ascii="GHEA Grapalat" w:hAnsi="GHEA Grapalat"/>
                <w:sz w:val="24"/>
                <w:szCs w:val="24"/>
              </w:rPr>
              <w:lastRenderedPageBreak/>
              <w:t>միջգերատեսչական տեղեկատվական փոխգործակցության գործընթացների վերլուծություն</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lastRenderedPageBreak/>
              <w:t>2015 թվականի հուլիս-օգոստոս</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rPr>
                <w:rFonts w:ascii="GHEA Grapalat" w:hAnsi="GHEA Grapalat"/>
                <w:sz w:val="24"/>
                <w:szCs w:val="24"/>
              </w:rPr>
            </w:pPr>
            <w:r w:rsidRPr="00CB405A">
              <w:rPr>
                <w:rStyle w:val="Bodytext215pt"/>
                <w:rFonts w:ascii="GHEA Grapalat" w:hAnsi="GHEA Grapalat"/>
                <w:sz w:val="24"/>
                <w:szCs w:val="24"/>
              </w:rPr>
              <w:t>հաշվետվություն</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599" w:right="108"/>
              <w:jc w:val="left"/>
              <w:rPr>
                <w:rFonts w:ascii="GHEA Grapalat" w:hAnsi="GHEA Grapalat"/>
                <w:sz w:val="24"/>
                <w:szCs w:val="24"/>
              </w:rPr>
            </w:pPr>
            <w:r w:rsidRPr="00CB405A">
              <w:rPr>
                <w:rStyle w:val="Bodytext215pt"/>
                <w:rFonts w:ascii="GHEA Grapalat" w:hAnsi="GHEA Grapalat"/>
                <w:sz w:val="24"/>
                <w:szCs w:val="24"/>
              </w:rPr>
              <w:lastRenderedPageBreak/>
              <w:t>4.2.2. «Մեկ պատուհանի» մեխանիզմի զարգացման ծրագրի ընդգրկման ոլորտում ներառված միջգերատեսչական տեղեկատվական փոխգործակցության ընթացակարգերի (այսուհետ՝ G2G ընթացակարգեր) ցանկի թարմացում</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հուլիս-օգոստոս</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ind w:right="208"/>
              <w:rPr>
                <w:rFonts w:ascii="GHEA Grapalat" w:hAnsi="GHEA Grapalat"/>
                <w:sz w:val="24"/>
                <w:szCs w:val="24"/>
              </w:rPr>
            </w:pPr>
            <w:r w:rsidRPr="00CB405A">
              <w:rPr>
                <w:rStyle w:val="Bodytext215pt"/>
                <w:rFonts w:ascii="GHEA Grapalat" w:hAnsi="GHEA Grapalat"/>
                <w:sz w:val="24"/>
                <w:szCs w:val="24"/>
              </w:rPr>
              <w:t>ընթացակարգերի թարմացված ցանկ, շահագրգիռ մարմինների ցանկ</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599" w:right="108"/>
              <w:jc w:val="left"/>
              <w:rPr>
                <w:rFonts w:ascii="GHEA Grapalat" w:hAnsi="GHEA Grapalat"/>
                <w:sz w:val="24"/>
                <w:szCs w:val="24"/>
              </w:rPr>
            </w:pPr>
            <w:r w:rsidRPr="00CB405A">
              <w:rPr>
                <w:rStyle w:val="Bodytext215pt"/>
                <w:rFonts w:ascii="GHEA Grapalat" w:hAnsi="GHEA Grapalat"/>
                <w:sz w:val="24"/>
                <w:szCs w:val="24"/>
              </w:rPr>
              <w:t>4.2.3. «Մեկ պատուհանի» ազգային մեխանիզմների զարգացման ծրագրերի ընդգրկման ոլորտում ներառված G2G ընթացակարգերի իրագործման վերաբերյալ հաշվետվությունների նախապատրաստում</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սեպտեմբեր</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rPr>
                <w:rFonts w:ascii="GHEA Grapalat" w:hAnsi="GHEA Grapalat"/>
                <w:sz w:val="24"/>
                <w:szCs w:val="24"/>
              </w:rPr>
            </w:pPr>
            <w:r w:rsidRPr="00CB405A">
              <w:rPr>
                <w:rStyle w:val="Bodytext215pt"/>
                <w:rFonts w:ascii="GHEA Grapalat" w:hAnsi="GHEA Grapalat"/>
                <w:sz w:val="24"/>
                <w:szCs w:val="24"/>
              </w:rPr>
              <w:t>հաշվետվություններ</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599" w:right="108"/>
              <w:jc w:val="left"/>
              <w:rPr>
                <w:rFonts w:ascii="GHEA Grapalat" w:hAnsi="GHEA Grapalat"/>
                <w:sz w:val="24"/>
                <w:szCs w:val="24"/>
              </w:rPr>
            </w:pPr>
            <w:r w:rsidRPr="00CB405A">
              <w:rPr>
                <w:rStyle w:val="Bodytext215pt"/>
                <w:rFonts w:ascii="GHEA Grapalat" w:hAnsi="GHEA Grapalat"/>
                <w:sz w:val="24"/>
                <w:szCs w:val="24"/>
              </w:rPr>
              <w:t>4.2.4. «Մեկ պատուհանի» ազգային մեխանիզմների զարգացման ծրագրերի ընդգրկման ոլորտում ներառված G2G պետական ընթացակարգերի օպտիմալացման վերաբերյալ առաջարկների նախապատրաստում</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սեպտեմբեր</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rPr>
                <w:rFonts w:ascii="GHEA Grapalat" w:hAnsi="GHEA Grapalat"/>
                <w:sz w:val="24"/>
                <w:szCs w:val="24"/>
              </w:rPr>
            </w:pPr>
            <w:r w:rsidRPr="00CB405A">
              <w:rPr>
                <w:rStyle w:val="Bodytext215pt"/>
                <w:rFonts w:ascii="GHEA Grapalat" w:hAnsi="GHEA Grapalat"/>
                <w:sz w:val="24"/>
                <w:szCs w:val="24"/>
              </w:rPr>
              <w:t>առաջարկներ</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599" w:right="108"/>
              <w:jc w:val="left"/>
              <w:rPr>
                <w:rFonts w:ascii="GHEA Grapalat" w:hAnsi="GHEA Grapalat"/>
                <w:sz w:val="24"/>
                <w:szCs w:val="24"/>
              </w:rPr>
            </w:pPr>
            <w:r w:rsidRPr="00CB405A">
              <w:rPr>
                <w:rStyle w:val="Bodytext215pt"/>
                <w:rFonts w:ascii="GHEA Grapalat" w:hAnsi="GHEA Grapalat"/>
                <w:sz w:val="24"/>
                <w:szCs w:val="24"/>
              </w:rPr>
              <w:t xml:space="preserve">4.2.5. «Մեկ պատուհանի» ազգային մեխանիզմների զարգացման ծրագրերի ընդգրկման ոլորտում ներառված G2G տիպային </w:t>
            </w:r>
            <w:r w:rsidRPr="00CB405A">
              <w:rPr>
                <w:rStyle w:val="Bodytext215pt"/>
                <w:rFonts w:ascii="GHEA Grapalat" w:hAnsi="GHEA Grapalat"/>
                <w:sz w:val="24"/>
                <w:szCs w:val="24"/>
              </w:rPr>
              <w:lastRenderedPageBreak/>
              <w:t>ընթացակարգերի իրագործման վերաբերյալ առաջարկությունների նախապատրաստում՝ «մեկ պատուհանի» ազգային մեխանիզմների զարգացման հետ կապված մոտեցումների մոտարկման շրջանակներում անդամ պետություններում կիրառելու համար</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lastRenderedPageBreak/>
              <w:t>2015 թվականի դեկտեմբեր</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Միության մարմնի ակտ</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599" w:right="108"/>
              <w:jc w:val="left"/>
              <w:rPr>
                <w:rFonts w:ascii="GHEA Grapalat" w:hAnsi="GHEA Grapalat"/>
                <w:sz w:val="24"/>
                <w:szCs w:val="24"/>
              </w:rPr>
            </w:pPr>
            <w:r w:rsidRPr="00CB405A">
              <w:rPr>
                <w:rStyle w:val="Bodytext215pt"/>
                <w:rFonts w:ascii="GHEA Grapalat" w:hAnsi="GHEA Grapalat"/>
                <w:sz w:val="24"/>
                <w:szCs w:val="24"/>
              </w:rPr>
              <w:lastRenderedPageBreak/>
              <w:t>4.2.6. G2G ընթացակարգերի իրագործում՝ սույն պլանի 4.2.5 կետում նշված առաջարկություններին համապատասխան</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դեկտեմբեր</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միջոցառումների պլաններ (ազգային), հաշվետվություններ</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140"/>
              <w:jc w:val="left"/>
              <w:rPr>
                <w:rFonts w:ascii="GHEA Grapalat" w:hAnsi="GHEA Grapalat"/>
                <w:sz w:val="24"/>
                <w:szCs w:val="24"/>
              </w:rPr>
            </w:pPr>
            <w:r w:rsidRPr="00CB405A">
              <w:rPr>
                <w:rStyle w:val="Bodytext215pt"/>
                <w:rFonts w:ascii="GHEA Grapalat" w:hAnsi="GHEA Grapalat"/>
                <w:sz w:val="24"/>
                <w:szCs w:val="24"/>
              </w:rPr>
              <w:t>4.3. Միության շրջանակներում՝ «մեկ պատուհանի» ազգային մեխանիզմների գործունեության ապահովման ընթացքում գործողության մեջ դրված ընդհանուր գործընթացների օպտիմալացում եւ իրագործում</w:t>
            </w:r>
          </w:p>
        </w:tc>
        <w:tc>
          <w:tcPr>
            <w:tcW w:w="2515" w:type="dxa"/>
            <w:shd w:val="clear" w:color="auto" w:fill="FFFFFF"/>
          </w:tcPr>
          <w:p w:rsidR="000D08A1" w:rsidRPr="00CB405A" w:rsidRDefault="000D08A1" w:rsidP="00880282">
            <w:pPr>
              <w:spacing w:after="120"/>
              <w:rPr>
                <w:rFonts w:ascii="GHEA Grapalat" w:hAnsi="GHEA Grapalat"/>
              </w:rPr>
            </w:pPr>
          </w:p>
        </w:tc>
        <w:tc>
          <w:tcPr>
            <w:tcW w:w="3118" w:type="dxa"/>
            <w:shd w:val="clear" w:color="auto" w:fill="FFFFFF"/>
          </w:tcPr>
          <w:p w:rsidR="000D08A1" w:rsidRPr="00CB405A" w:rsidRDefault="000D08A1" w:rsidP="00880282">
            <w:pPr>
              <w:spacing w:after="120"/>
              <w:rPr>
                <w:rFonts w:ascii="GHEA Grapalat" w:hAnsi="GHEA Grapalat"/>
              </w:rPr>
            </w:pPr>
          </w:p>
        </w:tc>
        <w:tc>
          <w:tcPr>
            <w:tcW w:w="3462" w:type="dxa"/>
            <w:shd w:val="clear" w:color="auto" w:fill="FFFFFF"/>
          </w:tcPr>
          <w:p w:rsidR="000D08A1" w:rsidRPr="00CB405A" w:rsidRDefault="000D08A1" w:rsidP="00880282">
            <w:pPr>
              <w:spacing w:after="120"/>
              <w:rPr>
                <w:rFonts w:ascii="GHEA Grapalat" w:hAnsi="GHEA Grapalat"/>
              </w:rPr>
            </w:pP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00"/>
              <w:jc w:val="left"/>
              <w:rPr>
                <w:rFonts w:ascii="GHEA Grapalat" w:hAnsi="GHEA Grapalat"/>
                <w:sz w:val="24"/>
                <w:szCs w:val="24"/>
              </w:rPr>
            </w:pPr>
            <w:r w:rsidRPr="00CB405A">
              <w:rPr>
                <w:rStyle w:val="Bodytext215pt"/>
                <w:rFonts w:ascii="GHEA Grapalat" w:hAnsi="GHEA Grapalat"/>
                <w:sz w:val="24"/>
                <w:szCs w:val="24"/>
              </w:rPr>
              <w:t>4.3.1. Միության իրավունքի եւ անդամ պետությունների օրենսդրության վերլուծության իրականացում՝ դրանում փոփոխություններ կատարելու անհրաժեշտության սահմանման մասով՝ «մեկ պատուհանի» ազգային մեխանիզմների միջեւ միջպետական տեղեկատվական փոխգործակցության իրագործումն ապահովելու նպատակով</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դեկտեմբեր</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հաշվետվություններ, Միության մարմինների ակտեր</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27"/>
              <w:jc w:val="left"/>
              <w:rPr>
                <w:rFonts w:ascii="GHEA Grapalat" w:hAnsi="GHEA Grapalat"/>
                <w:sz w:val="24"/>
                <w:szCs w:val="24"/>
              </w:rPr>
            </w:pPr>
            <w:r w:rsidRPr="00CB405A">
              <w:rPr>
                <w:rStyle w:val="Bodytext215pt"/>
                <w:rFonts w:ascii="GHEA Grapalat" w:hAnsi="GHEA Grapalat"/>
                <w:sz w:val="24"/>
                <w:szCs w:val="24"/>
              </w:rPr>
              <w:lastRenderedPageBreak/>
              <w:t xml:space="preserve">4.3.2. Միջպետական տեղակատվական փոխգործակցության գործընթացների (Միության շրջանակներում ընդհանուր գործընթացների) մոնիթորինգի անցկացում՝ «մեկ պատուհանի» ազգային մեխանիզմների գործունեությունն ապահովելու նպատակով </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հուլիս-օգոստոս</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հաշվետվություն</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27"/>
              <w:jc w:val="left"/>
              <w:rPr>
                <w:rFonts w:ascii="GHEA Grapalat" w:hAnsi="GHEA Grapalat"/>
                <w:sz w:val="24"/>
                <w:szCs w:val="24"/>
              </w:rPr>
            </w:pPr>
            <w:r w:rsidRPr="00CB405A">
              <w:rPr>
                <w:rStyle w:val="Bodytext215pt"/>
                <w:rFonts w:ascii="GHEA Grapalat" w:hAnsi="GHEA Grapalat"/>
                <w:sz w:val="24"/>
                <w:szCs w:val="24"/>
              </w:rPr>
              <w:t>4.3.3. Եվրասիական տնտեսական միության շրջանակներում ընդհանուր գործընթացների ցանկի թարմացման վերաբերյալ առաջարկների նախապատրաստում՝ «մեկ պատուհանի» ազգային մեխանիզմների փոխգործակցության ապահովման մասով</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սեպտեմբեր</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ընդհանուր գործընթացների թարմացված ցանկ, Միության մարմնի ակտ</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27"/>
              <w:jc w:val="left"/>
              <w:rPr>
                <w:rFonts w:ascii="GHEA Grapalat" w:hAnsi="GHEA Grapalat"/>
                <w:sz w:val="24"/>
                <w:szCs w:val="24"/>
              </w:rPr>
            </w:pPr>
            <w:r w:rsidRPr="00CB405A">
              <w:rPr>
                <w:rStyle w:val="Bodytext215pt"/>
                <w:rFonts w:ascii="GHEA Grapalat" w:hAnsi="GHEA Grapalat"/>
                <w:sz w:val="24"/>
                <w:szCs w:val="24"/>
              </w:rPr>
              <w:t xml:space="preserve">4.3.4. Միության շրջանակներում՝ «մեկ պատուհանի» ազգային մեխանիզմների գործունեության ապահովման ընթացքում գործողության մեջ դրված ընդհանուր գործընթացների կանոնակարգում </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դեկտեմբեր</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տեխնոլոգիական կանոնակարգեր, Միության մարմնի ակտ</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27"/>
              <w:jc w:val="left"/>
              <w:rPr>
                <w:rFonts w:ascii="GHEA Grapalat" w:hAnsi="GHEA Grapalat"/>
                <w:sz w:val="24"/>
                <w:szCs w:val="24"/>
              </w:rPr>
            </w:pPr>
            <w:r w:rsidRPr="00CB405A">
              <w:rPr>
                <w:rStyle w:val="Bodytext215pt"/>
                <w:rFonts w:ascii="GHEA Grapalat" w:hAnsi="GHEA Grapalat"/>
                <w:sz w:val="24"/>
                <w:szCs w:val="24"/>
              </w:rPr>
              <w:t xml:space="preserve">4.3.5. Միության տվյալների մոդելի զարգացում՝ «մեկ պատուհանի» ազգային մեխանիզմների գործունեության ապահովման ընթացքում գործողության մեջ դրված ընդհանուր գործընթացների իրագործման առարկայական </w:t>
            </w:r>
            <w:r w:rsidRPr="00CB405A">
              <w:rPr>
                <w:rStyle w:val="Bodytext215pt"/>
                <w:rFonts w:ascii="GHEA Grapalat" w:hAnsi="GHEA Grapalat"/>
                <w:sz w:val="24"/>
                <w:szCs w:val="24"/>
              </w:rPr>
              <w:lastRenderedPageBreak/>
              <w:t>ոլորտների շրջանակներում</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lastRenderedPageBreak/>
              <w:t>2015 թվականի դեկտեմբեր</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տվյալների պաշտոնականացված մոդել, տվյալների մոդելի նկարագիր, Միության մարմնի ակտ</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27"/>
              <w:jc w:val="left"/>
              <w:rPr>
                <w:rFonts w:ascii="GHEA Grapalat" w:hAnsi="GHEA Grapalat"/>
                <w:sz w:val="24"/>
                <w:szCs w:val="24"/>
              </w:rPr>
            </w:pPr>
            <w:r w:rsidRPr="00CB405A">
              <w:rPr>
                <w:rStyle w:val="Bodytext215pt"/>
                <w:rFonts w:ascii="GHEA Grapalat" w:hAnsi="GHEA Grapalat"/>
                <w:sz w:val="24"/>
                <w:szCs w:val="24"/>
              </w:rPr>
              <w:lastRenderedPageBreak/>
              <w:t>4.3.6. Միության շրջանակներում՝ «մեկ պատուհանի» ազգային մեխանիզմների գործունեության ապահովման ընթացքում գործողության մեջ դրված ընդհանուր գործընթացների իրագործում</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դեկտեմբեր</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տեխնիկական փաստաթղթեր, ակտեր</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4.4. Շահագրգիռ անձանց կողմից «մեկ պատուհանի» ազգային մեխանիզմների օգտագործման ընթացակարգերի պարզեցում</w:t>
            </w:r>
          </w:p>
        </w:tc>
        <w:tc>
          <w:tcPr>
            <w:tcW w:w="2515" w:type="dxa"/>
            <w:shd w:val="clear" w:color="auto" w:fill="FFFFFF"/>
          </w:tcPr>
          <w:p w:rsidR="000D08A1" w:rsidRPr="00CB405A" w:rsidRDefault="000D08A1" w:rsidP="00880282">
            <w:pPr>
              <w:spacing w:after="120"/>
              <w:rPr>
                <w:rFonts w:ascii="GHEA Grapalat" w:hAnsi="GHEA Grapalat"/>
              </w:rPr>
            </w:pPr>
          </w:p>
        </w:tc>
        <w:tc>
          <w:tcPr>
            <w:tcW w:w="3118" w:type="dxa"/>
            <w:shd w:val="clear" w:color="auto" w:fill="FFFFFF"/>
          </w:tcPr>
          <w:p w:rsidR="000D08A1" w:rsidRPr="00CB405A" w:rsidRDefault="000D08A1" w:rsidP="00880282">
            <w:pPr>
              <w:spacing w:after="120"/>
              <w:rPr>
                <w:rFonts w:ascii="GHEA Grapalat" w:hAnsi="GHEA Grapalat"/>
              </w:rPr>
            </w:pPr>
          </w:p>
        </w:tc>
        <w:tc>
          <w:tcPr>
            <w:tcW w:w="3462" w:type="dxa"/>
            <w:shd w:val="clear" w:color="auto" w:fill="FFFFFF"/>
          </w:tcPr>
          <w:p w:rsidR="000D08A1" w:rsidRPr="00CB405A" w:rsidRDefault="000D08A1" w:rsidP="00880282">
            <w:pPr>
              <w:spacing w:after="120"/>
              <w:rPr>
                <w:rFonts w:ascii="GHEA Grapalat" w:hAnsi="GHEA Grapalat"/>
              </w:rPr>
            </w:pP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00"/>
              <w:jc w:val="left"/>
              <w:rPr>
                <w:rFonts w:ascii="GHEA Grapalat" w:hAnsi="GHEA Grapalat"/>
                <w:sz w:val="24"/>
                <w:szCs w:val="24"/>
              </w:rPr>
            </w:pPr>
            <w:r w:rsidRPr="00CB405A">
              <w:rPr>
                <w:rStyle w:val="Bodytext215pt"/>
                <w:rFonts w:ascii="GHEA Grapalat" w:hAnsi="GHEA Grapalat"/>
                <w:sz w:val="24"/>
                <w:szCs w:val="24"/>
              </w:rPr>
              <w:t>4.4.1. «Մեկ պատուհանի» ազգային մեխանիզմների օգտագործման ժամանակ շահագրգիռ անձանց միջեւ փոխգործակցության գործընթացների եւ ընթացակարգերի վերլուծություն</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սեպտեմբեր</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հաշվետվություն</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4.5. Միության՝ «Մեկ պատուհանի» ազգային մեխանիզմների գործունեությունն ապահովելու համար անհրաժեշտ նորմատիվ-տեղեկատվական տեղեկությունների միասնական համակարգի ձեւավորում եւ զարգացում</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IV եռամսյակ</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Միության մարմինների ակտեր</w:t>
            </w:r>
          </w:p>
        </w:tc>
      </w:tr>
      <w:tr w:rsidR="000D08A1" w:rsidRPr="00CB405A" w:rsidTr="000837C4">
        <w:trPr>
          <w:jc w:val="center"/>
        </w:trPr>
        <w:tc>
          <w:tcPr>
            <w:tcW w:w="15351" w:type="dxa"/>
            <w:gridSpan w:val="4"/>
            <w:shd w:val="clear" w:color="auto" w:fill="FFFFFF"/>
          </w:tcPr>
          <w:p w:rsidR="000D08A1" w:rsidRPr="00CB405A" w:rsidRDefault="000D08A1" w:rsidP="00880282">
            <w:pPr>
              <w:pStyle w:val="Bodytext20"/>
              <w:shd w:val="clear" w:color="auto" w:fill="auto"/>
              <w:spacing w:before="0" w:after="120" w:line="240" w:lineRule="auto"/>
              <w:jc w:val="center"/>
              <w:rPr>
                <w:rStyle w:val="Bodytext215pt"/>
                <w:rFonts w:ascii="GHEA Grapalat" w:hAnsi="GHEA Grapalat"/>
                <w:sz w:val="24"/>
                <w:szCs w:val="24"/>
              </w:rPr>
            </w:pPr>
            <w:r w:rsidRPr="00CB405A">
              <w:rPr>
                <w:rStyle w:val="Bodytext215pt"/>
                <w:rFonts w:ascii="GHEA Grapalat" w:hAnsi="GHEA Grapalat"/>
                <w:sz w:val="24"/>
                <w:szCs w:val="24"/>
              </w:rPr>
              <w:t>5. Հասկացութային ապարատի ձեւավորում</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140" w:right="186"/>
              <w:jc w:val="left"/>
              <w:rPr>
                <w:rFonts w:ascii="GHEA Grapalat" w:hAnsi="GHEA Grapalat"/>
                <w:sz w:val="24"/>
                <w:szCs w:val="24"/>
              </w:rPr>
            </w:pPr>
            <w:r w:rsidRPr="00CB405A">
              <w:rPr>
                <w:rStyle w:val="Bodytext215pt"/>
                <w:rFonts w:ascii="GHEA Grapalat" w:hAnsi="GHEA Grapalat"/>
                <w:sz w:val="24"/>
                <w:szCs w:val="24"/>
              </w:rPr>
              <w:t xml:space="preserve">5.1. Հիմնական ուղղություններն իրագործելիս </w:t>
            </w:r>
            <w:r w:rsidRPr="00CB405A">
              <w:rPr>
                <w:rStyle w:val="Bodytext215pt"/>
                <w:rFonts w:ascii="GHEA Grapalat" w:hAnsi="GHEA Grapalat"/>
                <w:sz w:val="24"/>
                <w:szCs w:val="24"/>
              </w:rPr>
              <w:lastRenderedPageBreak/>
              <w:t>օգտագործվող եզրույթների բառարանի մշակում</w:t>
            </w:r>
          </w:p>
        </w:tc>
        <w:tc>
          <w:tcPr>
            <w:tcW w:w="2515" w:type="dxa"/>
            <w:shd w:val="clear" w:color="auto" w:fill="FFFFFF"/>
          </w:tcPr>
          <w:p w:rsidR="000D08A1" w:rsidRPr="00CB405A" w:rsidRDefault="000D08A1" w:rsidP="00880282">
            <w:pPr>
              <w:pStyle w:val="Bodytext20"/>
              <w:shd w:val="clear" w:color="auto" w:fill="auto"/>
              <w:spacing w:before="0" w:after="120" w:line="240" w:lineRule="auto"/>
              <w:ind w:left="140" w:right="186"/>
              <w:jc w:val="left"/>
              <w:rPr>
                <w:rFonts w:ascii="GHEA Grapalat" w:hAnsi="GHEA Grapalat"/>
                <w:sz w:val="24"/>
                <w:szCs w:val="24"/>
              </w:rPr>
            </w:pPr>
            <w:r w:rsidRPr="00CB405A">
              <w:rPr>
                <w:rStyle w:val="Bodytext215pt"/>
                <w:rFonts w:ascii="GHEA Grapalat" w:hAnsi="GHEA Grapalat"/>
                <w:sz w:val="24"/>
                <w:szCs w:val="24"/>
              </w:rPr>
              <w:lastRenderedPageBreak/>
              <w:t xml:space="preserve">2015 թվականի IV </w:t>
            </w:r>
            <w:r w:rsidRPr="00CB405A">
              <w:rPr>
                <w:rStyle w:val="Bodytext215pt"/>
                <w:rFonts w:ascii="GHEA Grapalat" w:hAnsi="GHEA Grapalat"/>
                <w:sz w:val="24"/>
                <w:szCs w:val="24"/>
              </w:rPr>
              <w:lastRenderedPageBreak/>
              <w:t>եռամսյակ</w:t>
            </w:r>
          </w:p>
        </w:tc>
        <w:tc>
          <w:tcPr>
            <w:tcW w:w="3118" w:type="dxa"/>
            <w:shd w:val="clear" w:color="auto" w:fill="FFFFFF"/>
          </w:tcPr>
          <w:p w:rsidR="000D08A1" w:rsidRPr="00CB405A" w:rsidRDefault="000D08A1" w:rsidP="00880282">
            <w:pPr>
              <w:pStyle w:val="Bodytext20"/>
              <w:shd w:val="clear" w:color="auto" w:fill="auto"/>
              <w:spacing w:before="0" w:after="120" w:line="240" w:lineRule="auto"/>
              <w:ind w:left="140" w:right="186"/>
              <w:jc w:val="left"/>
              <w:rPr>
                <w:rFonts w:ascii="GHEA Grapalat" w:hAnsi="GHEA Grapalat"/>
                <w:sz w:val="24"/>
                <w:szCs w:val="24"/>
              </w:rPr>
            </w:pPr>
            <w:r w:rsidRPr="00CB405A">
              <w:rPr>
                <w:rStyle w:val="Bodytext215pt"/>
                <w:rFonts w:ascii="GHEA Grapalat" w:hAnsi="GHEA Grapalat"/>
                <w:sz w:val="24"/>
                <w:szCs w:val="24"/>
              </w:rPr>
              <w:lastRenderedPageBreak/>
              <w:t xml:space="preserve">Հանձնաժողով, անդամ </w:t>
            </w:r>
            <w:r w:rsidRPr="00CB405A">
              <w:rPr>
                <w:rStyle w:val="Bodytext215pt"/>
                <w:rFonts w:ascii="GHEA Grapalat" w:hAnsi="GHEA Grapalat"/>
                <w:sz w:val="24"/>
                <w:szCs w:val="24"/>
              </w:rPr>
              <w:lastRenderedPageBreak/>
              <w:t>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ind w:left="140" w:right="186"/>
              <w:jc w:val="left"/>
              <w:rPr>
                <w:rFonts w:ascii="GHEA Grapalat" w:hAnsi="GHEA Grapalat"/>
                <w:sz w:val="24"/>
                <w:szCs w:val="24"/>
              </w:rPr>
            </w:pPr>
            <w:r w:rsidRPr="00CB405A">
              <w:rPr>
                <w:rStyle w:val="Bodytext215pt"/>
                <w:rFonts w:ascii="GHEA Grapalat" w:hAnsi="GHEA Grapalat"/>
                <w:sz w:val="24"/>
                <w:szCs w:val="24"/>
              </w:rPr>
              <w:lastRenderedPageBreak/>
              <w:t>Միության մարմնի ակտ</w:t>
            </w:r>
          </w:p>
        </w:tc>
      </w:tr>
      <w:tr w:rsidR="000D08A1" w:rsidRPr="00CB405A" w:rsidTr="000837C4">
        <w:trPr>
          <w:jc w:val="center"/>
        </w:trPr>
        <w:tc>
          <w:tcPr>
            <w:tcW w:w="15351" w:type="dxa"/>
            <w:gridSpan w:val="4"/>
            <w:shd w:val="clear" w:color="auto" w:fill="FFFFFF"/>
          </w:tcPr>
          <w:p w:rsidR="000D08A1" w:rsidRPr="00CB405A" w:rsidRDefault="000D08A1" w:rsidP="000837C4">
            <w:pPr>
              <w:pStyle w:val="Bodytext20"/>
              <w:shd w:val="clear" w:color="auto" w:fill="auto"/>
              <w:spacing w:before="0" w:after="120" w:line="240" w:lineRule="auto"/>
              <w:ind w:left="2224" w:right="2334"/>
              <w:jc w:val="center"/>
              <w:rPr>
                <w:rStyle w:val="Bodytext215pt"/>
                <w:rFonts w:ascii="GHEA Grapalat" w:hAnsi="GHEA Grapalat"/>
                <w:sz w:val="24"/>
                <w:szCs w:val="24"/>
              </w:rPr>
            </w:pPr>
            <w:r w:rsidRPr="00CB405A">
              <w:rPr>
                <w:rStyle w:val="Bodytext215pt"/>
                <w:rFonts w:ascii="GHEA Grapalat" w:hAnsi="GHEA Grapalat"/>
                <w:sz w:val="24"/>
                <w:szCs w:val="24"/>
              </w:rPr>
              <w:lastRenderedPageBreak/>
              <w:t>6. Միջոցառումների պլանի իրագործումն ապահովող կազմակերպչական մեխանիզմ (կառավարման մեխանիզմ)</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140"/>
              <w:jc w:val="left"/>
              <w:rPr>
                <w:rFonts w:ascii="GHEA Grapalat" w:hAnsi="GHEA Grapalat"/>
                <w:sz w:val="24"/>
                <w:szCs w:val="24"/>
              </w:rPr>
            </w:pPr>
            <w:r w:rsidRPr="00CB405A">
              <w:rPr>
                <w:rStyle w:val="Bodytext215pt"/>
                <w:rFonts w:ascii="GHEA Grapalat" w:hAnsi="GHEA Grapalat"/>
                <w:sz w:val="24"/>
                <w:szCs w:val="24"/>
              </w:rPr>
              <w:t>6.1. Կառավարման մեխանիզմի կազմակերպչական կառուցվածքի մշակում եւ հաստատում</w:t>
            </w:r>
          </w:p>
        </w:tc>
        <w:tc>
          <w:tcPr>
            <w:tcW w:w="2515" w:type="dxa"/>
            <w:shd w:val="clear" w:color="auto" w:fill="FFFFFF"/>
          </w:tcPr>
          <w:p w:rsidR="000D08A1" w:rsidRPr="00CB405A" w:rsidRDefault="000D08A1" w:rsidP="00880282">
            <w:pPr>
              <w:spacing w:after="120"/>
              <w:rPr>
                <w:rFonts w:ascii="GHEA Grapalat" w:hAnsi="GHEA Grapalat"/>
              </w:rPr>
            </w:pPr>
          </w:p>
        </w:tc>
        <w:tc>
          <w:tcPr>
            <w:tcW w:w="3118" w:type="dxa"/>
            <w:shd w:val="clear" w:color="auto" w:fill="FFFFFF"/>
          </w:tcPr>
          <w:p w:rsidR="000D08A1" w:rsidRPr="00CB405A" w:rsidRDefault="000D08A1" w:rsidP="00880282">
            <w:pPr>
              <w:spacing w:after="120"/>
              <w:rPr>
                <w:rFonts w:ascii="GHEA Grapalat" w:hAnsi="GHEA Grapalat"/>
              </w:rPr>
            </w:pPr>
          </w:p>
        </w:tc>
        <w:tc>
          <w:tcPr>
            <w:tcW w:w="3462" w:type="dxa"/>
            <w:shd w:val="clear" w:color="auto" w:fill="FFFFFF"/>
          </w:tcPr>
          <w:p w:rsidR="000D08A1" w:rsidRPr="00CB405A" w:rsidRDefault="000D08A1" w:rsidP="00880282">
            <w:pPr>
              <w:spacing w:after="120"/>
              <w:rPr>
                <w:rFonts w:ascii="GHEA Grapalat" w:hAnsi="GHEA Grapalat"/>
              </w:rPr>
            </w:pP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00"/>
              <w:jc w:val="left"/>
              <w:rPr>
                <w:rFonts w:ascii="GHEA Grapalat" w:hAnsi="GHEA Grapalat"/>
                <w:sz w:val="24"/>
                <w:szCs w:val="24"/>
              </w:rPr>
            </w:pPr>
            <w:r w:rsidRPr="00CB405A">
              <w:rPr>
                <w:rStyle w:val="Bodytext215pt"/>
                <w:rFonts w:ascii="GHEA Grapalat" w:hAnsi="GHEA Grapalat"/>
                <w:sz w:val="24"/>
                <w:szCs w:val="24"/>
              </w:rPr>
              <w:t xml:space="preserve">6.1.1. Կանոնակարգի, դրույթների մշակում՝ կառավարման մեխանիզմի կազմակերպչական կառուցվածքի յուրաքանչյուր բաղկացուցչի (այսուհետ՝ կազմակերպչական կառուցվածքի կառավարչական տարր) դերի, գործառույթների, լիազորությունների նկարագրությամբ </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հուլիս-օգոստոս</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Միության մարմինների ակտեր</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00"/>
              <w:jc w:val="left"/>
              <w:rPr>
                <w:rFonts w:ascii="GHEA Grapalat" w:hAnsi="GHEA Grapalat"/>
                <w:sz w:val="24"/>
                <w:szCs w:val="24"/>
              </w:rPr>
            </w:pPr>
            <w:r w:rsidRPr="00CB405A">
              <w:rPr>
                <w:rStyle w:val="Bodytext215pt"/>
                <w:rFonts w:ascii="GHEA Grapalat" w:hAnsi="GHEA Grapalat"/>
                <w:sz w:val="24"/>
                <w:szCs w:val="24"/>
              </w:rPr>
              <w:t xml:space="preserve">6.1.2. Միջոցառումների պլանի եւ «մեկ պատուհանի» ազգային մեխանիզմի ստեղծման ու զարգացման ծրագրի իրագործման ռազմավարական եւ տակտիկական կառավարում իրականացնող անձանց լիազորությունների սահմանում </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հուլիս-օգոստոս</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Միության մարմինների ակտեր</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140"/>
              <w:jc w:val="left"/>
              <w:rPr>
                <w:rFonts w:ascii="GHEA Grapalat" w:hAnsi="GHEA Grapalat"/>
                <w:sz w:val="24"/>
                <w:szCs w:val="24"/>
              </w:rPr>
            </w:pPr>
            <w:r w:rsidRPr="00CB405A">
              <w:rPr>
                <w:rStyle w:val="Bodytext215pt"/>
                <w:rFonts w:ascii="GHEA Grapalat" w:hAnsi="GHEA Grapalat"/>
                <w:sz w:val="24"/>
                <w:szCs w:val="24"/>
              </w:rPr>
              <w:t xml:space="preserve">6.2. Արտաքին տնտեսական գործունեության կարգավորման համակարգում «մեկ պատուհանի» մեխանիզմի զարգացման հիմնական ուղղությունների իրագործման միջոցառումների պլանի իրագործման հարցերով աշխատանքային խմբի (այսուհետ՝ </w:t>
            </w:r>
            <w:r w:rsidRPr="00CB405A">
              <w:rPr>
                <w:rStyle w:val="Bodytext215pt"/>
                <w:rFonts w:ascii="GHEA Grapalat" w:hAnsi="GHEA Grapalat"/>
                <w:sz w:val="24"/>
                <w:szCs w:val="24"/>
              </w:rPr>
              <w:lastRenderedPageBreak/>
              <w:t>աշխատանքային խումբ) ստեղծում</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lastRenderedPageBreak/>
              <w:t>2015 թվականի III եռամսյակ</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Միության մարմինների ակտեր</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00"/>
              <w:jc w:val="left"/>
              <w:rPr>
                <w:rFonts w:ascii="GHEA Grapalat" w:hAnsi="GHEA Grapalat"/>
                <w:sz w:val="24"/>
                <w:szCs w:val="24"/>
              </w:rPr>
            </w:pPr>
            <w:r w:rsidRPr="00CB405A">
              <w:rPr>
                <w:rStyle w:val="Bodytext215pt"/>
                <w:rFonts w:ascii="GHEA Grapalat" w:hAnsi="GHEA Grapalat"/>
                <w:sz w:val="24"/>
                <w:szCs w:val="24"/>
              </w:rPr>
              <w:lastRenderedPageBreak/>
              <w:t>6.2.1. Աշխատանքային խմբի կազմի՝ ներառյալ դրա ղեկավարի, կազմակերպչական կառուցվածքի կառավարչական տարրերի սահմանում</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հուլիս-օգոստոս</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Միության մարմնի ակտ</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600"/>
              <w:jc w:val="left"/>
              <w:rPr>
                <w:rFonts w:ascii="GHEA Grapalat" w:hAnsi="GHEA Grapalat"/>
                <w:sz w:val="24"/>
                <w:szCs w:val="24"/>
              </w:rPr>
            </w:pPr>
            <w:r w:rsidRPr="00CB405A">
              <w:rPr>
                <w:rStyle w:val="Bodytext215pt"/>
                <w:rFonts w:ascii="GHEA Grapalat" w:hAnsi="GHEA Grapalat"/>
                <w:sz w:val="24"/>
                <w:szCs w:val="24"/>
              </w:rPr>
              <w:t>6.2.2. Աշխատանքային խմբին առընթեր՝ թեմատիկ փորձագիտական խմբերի ստեղծում</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հուլիս-օգոստոս</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Միության մարմնի ակտ</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 xml:space="preserve">6.3. Հիմնական ուղղությունների իրագործման համար պատասխանատու լիազոր մարմինների սահմանում՝ անդամ պետությունների կողմից </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III եռամսյակ</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անդամ պետության կառավարության ակտ</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6.4. Միջոցառումների պլանի եւ սույն պլանի իրագործման համար լիազորված համակարգող (խորհրդատվական) մարմինների ստեղծում՝ անդամ պետությունների կողմից</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III եռամսյակ</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անդամ պետության կառավարության ակտ</w:t>
            </w:r>
          </w:p>
        </w:tc>
      </w:tr>
      <w:tr w:rsidR="000D08A1" w:rsidRPr="00CB405A" w:rsidTr="000837C4">
        <w:trPr>
          <w:jc w:val="center"/>
        </w:trPr>
        <w:tc>
          <w:tcPr>
            <w:tcW w:w="15351" w:type="dxa"/>
            <w:gridSpan w:val="4"/>
            <w:shd w:val="clear" w:color="auto" w:fill="FFFFFF"/>
          </w:tcPr>
          <w:p w:rsidR="000D08A1" w:rsidRPr="00CB405A" w:rsidRDefault="000D08A1" w:rsidP="00880282">
            <w:pPr>
              <w:pStyle w:val="Bodytext20"/>
              <w:shd w:val="clear" w:color="auto" w:fill="auto"/>
              <w:spacing w:before="0" w:after="120" w:line="240" w:lineRule="auto"/>
              <w:jc w:val="center"/>
              <w:rPr>
                <w:rStyle w:val="Bodytext215pt"/>
                <w:rFonts w:ascii="GHEA Grapalat" w:hAnsi="GHEA Grapalat"/>
                <w:sz w:val="24"/>
                <w:szCs w:val="24"/>
              </w:rPr>
            </w:pPr>
            <w:r w:rsidRPr="00CB405A">
              <w:rPr>
                <w:rStyle w:val="Bodytext215pt"/>
                <w:rFonts w:ascii="GHEA Grapalat" w:hAnsi="GHEA Grapalat"/>
                <w:sz w:val="24"/>
                <w:szCs w:val="24"/>
              </w:rPr>
              <w:t>7. Կազմակերպչական հարցեր</w:t>
            </w:r>
          </w:p>
        </w:tc>
      </w:tr>
      <w:tr w:rsidR="000D08A1" w:rsidRPr="00CB405A"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140"/>
              <w:jc w:val="left"/>
              <w:rPr>
                <w:rFonts w:ascii="GHEA Grapalat" w:hAnsi="GHEA Grapalat"/>
                <w:sz w:val="24"/>
                <w:szCs w:val="24"/>
              </w:rPr>
            </w:pPr>
            <w:r w:rsidRPr="00CB405A">
              <w:rPr>
                <w:rStyle w:val="Bodytext215pt"/>
                <w:rFonts w:ascii="GHEA Grapalat" w:hAnsi="GHEA Grapalat"/>
                <w:sz w:val="24"/>
                <w:szCs w:val="24"/>
              </w:rPr>
              <w:t>7.1. «Մեկ պատուհանի» մեխանիզմի մասսայականացում. աշխատանք ԶԼՄ-ների հետ, Հիմնական ուղղությունների եւ միջոցառումների պլանի իրագործման վերաբերյալ բաց քննարկումների, սեմինարների, համաժողովների կազմակերպում</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IV եռամսյակ</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 xml:space="preserve">համաժողովների կազմակերպում, տեղեկատու տեղեկատվության հրապարակում, հոդվածների նախապատրաստում, ժողովածուների, բրոշյուրների </w:t>
            </w:r>
            <w:r w:rsidRPr="00CB405A">
              <w:rPr>
                <w:rStyle w:val="Bodytext215pt"/>
                <w:rFonts w:ascii="GHEA Grapalat" w:hAnsi="GHEA Grapalat"/>
                <w:sz w:val="24"/>
                <w:szCs w:val="24"/>
              </w:rPr>
              <w:lastRenderedPageBreak/>
              <w:t>հրատարակում</w:t>
            </w:r>
          </w:p>
        </w:tc>
      </w:tr>
      <w:tr w:rsidR="000D08A1" w:rsidRPr="00BD1230" w:rsidTr="000837C4">
        <w:trPr>
          <w:jc w:val="center"/>
        </w:trPr>
        <w:tc>
          <w:tcPr>
            <w:tcW w:w="6256" w:type="dxa"/>
            <w:shd w:val="clear" w:color="auto" w:fill="FFFFFF"/>
          </w:tcPr>
          <w:p w:rsidR="000D08A1" w:rsidRPr="00CB405A" w:rsidRDefault="000D08A1" w:rsidP="00880282">
            <w:pPr>
              <w:pStyle w:val="Bodytext20"/>
              <w:shd w:val="clear" w:color="auto" w:fill="auto"/>
              <w:spacing w:before="0" w:after="120" w:line="240" w:lineRule="auto"/>
              <w:ind w:left="140"/>
              <w:jc w:val="left"/>
              <w:rPr>
                <w:rFonts w:ascii="GHEA Grapalat" w:hAnsi="GHEA Grapalat"/>
                <w:sz w:val="24"/>
                <w:szCs w:val="24"/>
              </w:rPr>
            </w:pPr>
            <w:r w:rsidRPr="00CB405A">
              <w:rPr>
                <w:rStyle w:val="Bodytext215pt"/>
                <w:rFonts w:ascii="GHEA Grapalat" w:hAnsi="GHEA Grapalat"/>
                <w:sz w:val="24"/>
                <w:szCs w:val="24"/>
              </w:rPr>
              <w:lastRenderedPageBreak/>
              <w:t>7.2. Հիմնական ուղղությունների եւ միջոցառումների պլանի իրագործման մասով կատարված աշխատանքի վերաբերյալ հաշվետվությունների նախապատրաստում եւ հրապարակում</w:t>
            </w:r>
          </w:p>
        </w:tc>
        <w:tc>
          <w:tcPr>
            <w:tcW w:w="2515"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2015 թվականի IV եռամսյակ</w:t>
            </w:r>
          </w:p>
        </w:tc>
        <w:tc>
          <w:tcPr>
            <w:tcW w:w="3118" w:type="dxa"/>
            <w:shd w:val="clear" w:color="auto" w:fill="FFFFFF"/>
          </w:tcPr>
          <w:p w:rsidR="000D08A1" w:rsidRPr="00CB405A" w:rsidRDefault="000D08A1" w:rsidP="00880282">
            <w:pPr>
              <w:pStyle w:val="Bodytext20"/>
              <w:shd w:val="clear" w:color="auto" w:fill="auto"/>
              <w:spacing w:before="0" w:after="120" w:line="240" w:lineRule="auto"/>
              <w:jc w:val="left"/>
              <w:rPr>
                <w:rFonts w:ascii="GHEA Grapalat" w:hAnsi="GHEA Grapalat"/>
                <w:sz w:val="24"/>
                <w:szCs w:val="24"/>
              </w:rPr>
            </w:pPr>
            <w:r w:rsidRPr="00CB405A">
              <w:rPr>
                <w:rStyle w:val="Bodytext215pt"/>
                <w:rFonts w:ascii="GHEA Grapalat" w:hAnsi="GHEA Grapalat"/>
                <w:sz w:val="24"/>
                <w:szCs w:val="24"/>
              </w:rPr>
              <w:t>Հանձնաժողով, անդամ պետություններ</w:t>
            </w:r>
          </w:p>
        </w:tc>
        <w:tc>
          <w:tcPr>
            <w:tcW w:w="3462" w:type="dxa"/>
            <w:shd w:val="clear" w:color="auto" w:fill="FFFFFF"/>
          </w:tcPr>
          <w:p w:rsidR="000D08A1" w:rsidRPr="00BD1230" w:rsidRDefault="000D08A1" w:rsidP="00880282">
            <w:pPr>
              <w:spacing w:after="120"/>
              <w:rPr>
                <w:rFonts w:ascii="GHEA Grapalat" w:hAnsi="GHEA Grapalat"/>
              </w:rPr>
            </w:pPr>
            <w:r w:rsidRPr="00CB405A">
              <w:rPr>
                <w:rStyle w:val="Bodytext215pt"/>
                <w:rFonts w:ascii="GHEA Grapalat" w:eastAsia="Sylfaen" w:hAnsi="GHEA Grapalat"/>
                <w:sz w:val="24"/>
                <w:szCs w:val="24"/>
              </w:rPr>
              <w:t>«Ինտերնետ» տեղեկատվական-հեռահաղորդակցության ցանցում՝ Միության կայքում հրապարակում</w:t>
            </w:r>
          </w:p>
        </w:tc>
      </w:tr>
    </w:tbl>
    <w:p w:rsidR="005866FA" w:rsidRPr="00BD1230" w:rsidRDefault="005866FA" w:rsidP="00204374">
      <w:pPr>
        <w:rPr>
          <w:rFonts w:ascii="GHEA Grapalat" w:hAnsi="GHEA Grapalat"/>
        </w:rPr>
      </w:pPr>
    </w:p>
    <w:sectPr w:rsidR="005866FA" w:rsidRPr="00BD1230" w:rsidSect="00482A1B">
      <w:headerReference w:type="first" r:id="rId9"/>
      <w:pgSz w:w="16840" w:h="11900" w:orient="landscape" w:code="9"/>
      <w:pgMar w:top="1418" w:right="1418" w:bottom="1418" w:left="1418" w:header="284"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396" w:rsidRDefault="00C11396" w:rsidP="005866FA">
      <w:r>
        <w:separator/>
      </w:r>
    </w:p>
  </w:endnote>
  <w:endnote w:type="continuationSeparator" w:id="0">
    <w:p w:rsidR="00C11396" w:rsidRDefault="00C11396" w:rsidP="0058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396" w:rsidRDefault="00C11396"/>
  </w:footnote>
  <w:footnote w:type="continuationSeparator" w:id="0">
    <w:p w:rsidR="00C11396" w:rsidRDefault="00C113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A1B" w:rsidRDefault="00482A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60744"/>
    <w:multiLevelType w:val="multilevel"/>
    <w:tmpl w:val="F7924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866FA"/>
    <w:rsid w:val="00014DDC"/>
    <w:rsid w:val="00025FEC"/>
    <w:rsid w:val="000837C4"/>
    <w:rsid w:val="00090B2F"/>
    <w:rsid w:val="000B63D1"/>
    <w:rsid w:val="000C36EF"/>
    <w:rsid w:val="000D067E"/>
    <w:rsid w:val="000D08A1"/>
    <w:rsid w:val="000E7D69"/>
    <w:rsid w:val="000F0A36"/>
    <w:rsid w:val="000F1784"/>
    <w:rsid w:val="000F28DB"/>
    <w:rsid w:val="00102C72"/>
    <w:rsid w:val="001050EE"/>
    <w:rsid w:val="00117A3D"/>
    <w:rsid w:val="00121F97"/>
    <w:rsid w:val="001353EC"/>
    <w:rsid w:val="001735D2"/>
    <w:rsid w:val="00193BDE"/>
    <w:rsid w:val="001B3163"/>
    <w:rsid w:val="001B637E"/>
    <w:rsid w:val="00204374"/>
    <w:rsid w:val="00244CCE"/>
    <w:rsid w:val="00250F9C"/>
    <w:rsid w:val="00256169"/>
    <w:rsid w:val="002A2D9F"/>
    <w:rsid w:val="002B08C7"/>
    <w:rsid w:val="002B1F97"/>
    <w:rsid w:val="002D106F"/>
    <w:rsid w:val="002E50AD"/>
    <w:rsid w:val="002E5DD5"/>
    <w:rsid w:val="002F5036"/>
    <w:rsid w:val="00315CB4"/>
    <w:rsid w:val="003702D1"/>
    <w:rsid w:val="00380110"/>
    <w:rsid w:val="00383961"/>
    <w:rsid w:val="003846DF"/>
    <w:rsid w:val="003D01C1"/>
    <w:rsid w:val="003D726B"/>
    <w:rsid w:val="003E3ED8"/>
    <w:rsid w:val="003F4C88"/>
    <w:rsid w:val="00402542"/>
    <w:rsid w:val="00476679"/>
    <w:rsid w:val="00482A1B"/>
    <w:rsid w:val="004835AE"/>
    <w:rsid w:val="004A700F"/>
    <w:rsid w:val="004E1B4D"/>
    <w:rsid w:val="00501788"/>
    <w:rsid w:val="00510536"/>
    <w:rsid w:val="005450F7"/>
    <w:rsid w:val="005703D5"/>
    <w:rsid w:val="00582BB7"/>
    <w:rsid w:val="005866FA"/>
    <w:rsid w:val="005B2889"/>
    <w:rsid w:val="005D5436"/>
    <w:rsid w:val="005D5748"/>
    <w:rsid w:val="005E3F95"/>
    <w:rsid w:val="005E452B"/>
    <w:rsid w:val="005F0C79"/>
    <w:rsid w:val="00604D76"/>
    <w:rsid w:val="006062F6"/>
    <w:rsid w:val="00645376"/>
    <w:rsid w:val="00645412"/>
    <w:rsid w:val="00650E11"/>
    <w:rsid w:val="00651BF3"/>
    <w:rsid w:val="00653C34"/>
    <w:rsid w:val="00666D17"/>
    <w:rsid w:val="006976A6"/>
    <w:rsid w:val="006B5F6C"/>
    <w:rsid w:val="006D7E61"/>
    <w:rsid w:val="006F1B6C"/>
    <w:rsid w:val="006F7B4C"/>
    <w:rsid w:val="007458A0"/>
    <w:rsid w:val="00775901"/>
    <w:rsid w:val="007935EB"/>
    <w:rsid w:val="007B70FD"/>
    <w:rsid w:val="007C11A9"/>
    <w:rsid w:val="007C211D"/>
    <w:rsid w:val="007C5705"/>
    <w:rsid w:val="007C588B"/>
    <w:rsid w:val="007D4467"/>
    <w:rsid w:val="007F67C6"/>
    <w:rsid w:val="007F7472"/>
    <w:rsid w:val="008017F8"/>
    <w:rsid w:val="00835D0F"/>
    <w:rsid w:val="00836DFE"/>
    <w:rsid w:val="00844F13"/>
    <w:rsid w:val="00867372"/>
    <w:rsid w:val="00880282"/>
    <w:rsid w:val="00884126"/>
    <w:rsid w:val="008E4031"/>
    <w:rsid w:val="008E702D"/>
    <w:rsid w:val="00923B65"/>
    <w:rsid w:val="00930590"/>
    <w:rsid w:val="00930998"/>
    <w:rsid w:val="00972F2C"/>
    <w:rsid w:val="0099497F"/>
    <w:rsid w:val="009A751E"/>
    <w:rsid w:val="009C1604"/>
    <w:rsid w:val="009C69E1"/>
    <w:rsid w:val="00A0075C"/>
    <w:rsid w:val="00A02C10"/>
    <w:rsid w:val="00A515CE"/>
    <w:rsid w:val="00A522D2"/>
    <w:rsid w:val="00A97489"/>
    <w:rsid w:val="00AC6C72"/>
    <w:rsid w:val="00B01702"/>
    <w:rsid w:val="00B24A9B"/>
    <w:rsid w:val="00B3015E"/>
    <w:rsid w:val="00B32384"/>
    <w:rsid w:val="00B62A16"/>
    <w:rsid w:val="00BA223E"/>
    <w:rsid w:val="00BA34AF"/>
    <w:rsid w:val="00BB44E0"/>
    <w:rsid w:val="00BB6B97"/>
    <w:rsid w:val="00BD1230"/>
    <w:rsid w:val="00C11396"/>
    <w:rsid w:val="00C239D3"/>
    <w:rsid w:val="00C342E4"/>
    <w:rsid w:val="00C77085"/>
    <w:rsid w:val="00C82BFE"/>
    <w:rsid w:val="00C85BC2"/>
    <w:rsid w:val="00CB405A"/>
    <w:rsid w:val="00CB6048"/>
    <w:rsid w:val="00CD2E89"/>
    <w:rsid w:val="00CD7D87"/>
    <w:rsid w:val="00D10ADF"/>
    <w:rsid w:val="00D22B77"/>
    <w:rsid w:val="00D2742B"/>
    <w:rsid w:val="00D5019B"/>
    <w:rsid w:val="00D563A2"/>
    <w:rsid w:val="00D63D6F"/>
    <w:rsid w:val="00D776BA"/>
    <w:rsid w:val="00D90B80"/>
    <w:rsid w:val="00D94452"/>
    <w:rsid w:val="00DA120C"/>
    <w:rsid w:val="00DB2279"/>
    <w:rsid w:val="00DE46F6"/>
    <w:rsid w:val="00DE6B14"/>
    <w:rsid w:val="00DE7110"/>
    <w:rsid w:val="00E123D5"/>
    <w:rsid w:val="00E321A9"/>
    <w:rsid w:val="00E42010"/>
    <w:rsid w:val="00E67302"/>
    <w:rsid w:val="00E75500"/>
    <w:rsid w:val="00E87981"/>
    <w:rsid w:val="00EA4809"/>
    <w:rsid w:val="00EA4AB4"/>
    <w:rsid w:val="00EA6DCA"/>
    <w:rsid w:val="00EC14AB"/>
    <w:rsid w:val="00EC59C3"/>
    <w:rsid w:val="00EE402A"/>
    <w:rsid w:val="00EE44F8"/>
    <w:rsid w:val="00EE796B"/>
    <w:rsid w:val="00F04D72"/>
    <w:rsid w:val="00F10F0D"/>
    <w:rsid w:val="00F20A5A"/>
    <w:rsid w:val="00F34E8D"/>
    <w:rsid w:val="00F57110"/>
    <w:rsid w:val="00F647F8"/>
    <w:rsid w:val="00F6789D"/>
    <w:rsid w:val="00F9776D"/>
    <w:rsid w:val="00FE6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66F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66FA"/>
    <w:rPr>
      <w:color w:val="000080"/>
      <w:u w:val="single"/>
    </w:rPr>
  </w:style>
  <w:style w:type="character" w:customStyle="1" w:styleId="Bodytext3">
    <w:name w:val="Body text (3)_"/>
    <w:basedOn w:val="DefaultParagraphFont"/>
    <w:link w:val="Bodytext30"/>
    <w:rsid w:val="005866FA"/>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5866FA"/>
    <w:rPr>
      <w:rFonts w:ascii="Times New Roman" w:eastAsia="Times New Roman" w:hAnsi="Times New Roman" w:cs="Times New Roman"/>
      <w:b/>
      <w:bCs/>
      <w:i w:val="0"/>
      <w:iCs w:val="0"/>
      <w:smallCaps w:val="0"/>
      <w:strike w:val="0"/>
      <w:sz w:val="36"/>
      <w:szCs w:val="36"/>
      <w:u w:val="none"/>
    </w:rPr>
  </w:style>
  <w:style w:type="character" w:customStyle="1" w:styleId="Bodytext3Spacing4pt">
    <w:name w:val="Body text (3) + Spacing 4 pt"/>
    <w:basedOn w:val="Bodytext3"/>
    <w:rsid w:val="005866FA"/>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5866FA"/>
    <w:rPr>
      <w:rFonts w:ascii="Times New Roman" w:eastAsia="Times New Roman" w:hAnsi="Times New Roman" w:cs="Times New Roman"/>
      <w:b w:val="0"/>
      <w:bCs w:val="0"/>
      <w:i w:val="0"/>
      <w:iCs w:val="0"/>
      <w:smallCaps w:val="0"/>
      <w:strike w:val="0"/>
      <w:sz w:val="26"/>
      <w:szCs w:val="26"/>
      <w:u w:val="none"/>
    </w:rPr>
  </w:style>
  <w:style w:type="character" w:customStyle="1" w:styleId="Bodytext215pt">
    <w:name w:val="Body text (2) + 15 pt"/>
    <w:basedOn w:val="Bodytext2"/>
    <w:rsid w:val="005866F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5pt0">
    <w:name w:val="Body text (2) + 15 pt"/>
    <w:aliases w:val="Bold,Spacing 4 pt"/>
    <w:basedOn w:val="Bodytext2"/>
    <w:rsid w:val="005866FA"/>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4">
    <w:name w:val="Body text (4)_"/>
    <w:basedOn w:val="DefaultParagraphFont"/>
    <w:link w:val="Bodytext40"/>
    <w:rsid w:val="005866FA"/>
    <w:rPr>
      <w:rFonts w:ascii="Times New Roman" w:eastAsia="Times New Roman" w:hAnsi="Times New Roman" w:cs="Times New Roman"/>
      <w:b w:val="0"/>
      <w:bCs w:val="0"/>
      <w:i w:val="0"/>
      <w:iCs w:val="0"/>
      <w:smallCaps w:val="0"/>
      <w:strike w:val="0"/>
      <w:sz w:val="30"/>
      <w:szCs w:val="30"/>
      <w:u w:val="none"/>
    </w:rPr>
  </w:style>
  <w:style w:type="character" w:customStyle="1" w:styleId="Bodytext4Bold">
    <w:name w:val="Body text (4) + Bold"/>
    <w:aliases w:val="Spacing 2 pt"/>
    <w:basedOn w:val="Bodytext4"/>
    <w:rsid w:val="005866FA"/>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4Spacing2pt">
    <w:name w:val="Body text (4) + Spacing 2 pt"/>
    <w:basedOn w:val="Bodytext4"/>
    <w:rsid w:val="005866FA"/>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214pt">
    <w:name w:val="Body text (2) + 14 pt"/>
    <w:aliases w:val="Bold,Body text (2) + Sylfaen"/>
    <w:basedOn w:val="Bodytext2"/>
    <w:rsid w:val="005866FA"/>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3Spacing2pt">
    <w:name w:val="Body text (3) + Spacing 2 pt"/>
    <w:basedOn w:val="Bodytext3"/>
    <w:rsid w:val="005866FA"/>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paragraph" w:customStyle="1" w:styleId="Bodytext30">
    <w:name w:val="Body text (3)"/>
    <w:basedOn w:val="Normal"/>
    <w:link w:val="Bodytext3"/>
    <w:rsid w:val="005866FA"/>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5866FA"/>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5866FA"/>
    <w:pPr>
      <w:shd w:val="clear" w:color="auto" w:fill="FFFFFF"/>
      <w:spacing w:before="420" w:after="420" w:line="0" w:lineRule="atLeast"/>
      <w:jc w:val="both"/>
    </w:pPr>
    <w:rPr>
      <w:rFonts w:ascii="Times New Roman" w:eastAsia="Times New Roman" w:hAnsi="Times New Roman" w:cs="Times New Roman"/>
      <w:sz w:val="26"/>
      <w:szCs w:val="26"/>
    </w:rPr>
  </w:style>
  <w:style w:type="paragraph" w:customStyle="1" w:styleId="Bodytext40">
    <w:name w:val="Body text (4)"/>
    <w:basedOn w:val="Normal"/>
    <w:link w:val="Bodytext4"/>
    <w:rsid w:val="005866FA"/>
    <w:pPr>
      <w:shd w:val="clear" w:color="auto" w:fill="FFFFFF"/>
      <w:spacing w:before="480" w:line="450" w:lineRule="exact"/>
      <w:jc w:val="both"/>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9C1604"/>
    <w:rPr>
      <w:rFonts w:ascii="Tahoma" w:hAnsi="Tahoma" w:cs="Tahoma"/>
      <w:sz w:val="16"/>
      <w:szCs w:val="16"/>
    </w:rPr>
  </w:style>
  <w:style w:type="character" w:customStyle="1" w:styleId="BalloonTextChar">
    <w:name w:val="Balloon Text Char"/>
    <w:basedOn w:val="DefaultParagraphFont"/>
    <w:link w:val="BalloonText"/>
    <w:uiPriority w:val="99"/>
    <w:semiHidden/>
    <w:rsid w:val="009C1604"/>
    <w:rPr>
      <w:rFonts w:ascii="Tahoma" w:hAnsi="Tahoma" w:cs="Tahoma"/>
      <w:color w:val="000000"/>
      <w:sz w:val="16"/>
      <w:szCs w:val="16"/>
    </w:rPr>
  </w:style>
  <w:style w:type="paragraph" w:styleId="Header">
    <w:name w:val="header"/>
    <w:basedOn w:val="Normal"/>
    <w:link w:val="HeaderChar"/>
    <w:uiPriority w:val="99"/>
    <w:unhideWhenUsed/>
    <w:rsid w:val="00482A1B"/>
    <w:pPr>
      <w:tabs>
        <w:tab w:val="center" w:pos="4844"/>
        <w:tab w:val="right" w:pos="9689"/>
      </w:tabs>
    </w:pPr>
  </w:style>
  <w:style w:type="character" w:customStyle="1" w:styleId="HeaderChar">
    <w:name w:val="Header Char"/>
    <w:basedOn w:val="DefaultParagraphFont"/>
    <w:link w:val="Header"/>
    <w:uiPriority w:val="99"/>
    <w:rsid w:val="00482A1B"/>
    <w:rPr>
      <w:color w:val="000000"/>
    </w:rPr>
  </w:style>
  <w:style w:type="paragraph" w:styleId="Footer">
    <w:name w:val="footer"/>
    <w:basedOn w:val="Normal"/>
    <w:link w:val="FooterChar"/>
    <w:uiPriority w:val="99"/>
    <w:semiHidden/>
    <w:unhideWhenUsed/>
    <w:rsid w:val="00482A1B"/>
    <w:pPr>
      <w:tabs>
        <w:tab w:val="center" w:pos="4844"/>
        <w:tab w:val="right" w:pos="9689"/>
      </w:tabs>
    </w:pPr>
  </w:style>
  <w:style w:type="character" w:customStyle="1" w:styleId="FooterChar">
    <w:name w:val="Footer Char"/>
    <w:basedOn w:val="DefaultParagraphFont"/>
    <w:link w:val="Footer"/>
    <w:uiPriority w:val="99"/>
    <w:semiHidden/>
    <w:rsid w:val="00482A1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16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94DBC-F723-4F27-AC37-661107FB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24</Pages>
  <Words>3368</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22521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Lilit Mkhitaryan</cp:lastModifiedBy>
  <cp:revision>145</cp:revision>
  <dcterms:created xsi:type="dcterms:W3CDTF">2015-11-13T12:14:00Z</dcterms:created>
  <dcterms:modified xsi:type="dcterms:W3CDTF">2016-04-26T11:03:00Z</dcterms:modified>
</cp:coreProperties>
</file>