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92" w:rsidRPr="00035820" w:rsidRDefault="00DB1B92" w:rsidP="00DB1B92">
      <w:pPr>
        <w:pStyle w:val="Bodytext30"/>
        <w:shd w:val="clear" w:color="auto" w:fill="auto"/>
        <w:spacing w:after="160" w:line="240" w:lineRule="auto"/>
        <w:ind w:left="4536" w:right="-8"/>
        <w:rPr>
          <w:rFonts w:ascii="GHEA Grapalat" w:hAnsi="GHEA Grapalat"/>
          <w:b w:val="0"/>
          <w:sz w:val="24"/>
          <w:szCs w:val="24"/>
        </w:rPr>
      </w:pPr>
      <w:r w:rsidRPr="00035820">
        <w:rPr>
          <w:rFonts w:ascii="GHEA Grapalat" w:hAnsi="GHEA Grapalat"/>
          <w:b w:val="0"/>
          <w:sz w:val="24"/>
          <w:szCs w:val="24"/>
        </w:rPr>
        <w:t>ՀԱՎԵԼՎԱԾ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 մասին» համաձայնագրի</w:t>
      </w:r>
    </w:p>
    <w:p w:rsidR="00DB1B92" w:rsidRPr="00035820" w:rsidRDefault="00DB1B92" w:rsidP="00DB1B92">
      <w:pPr>
        <w:pStyle w:val="Bodytext30"/>
        <w:shd w:val="clear" w:color="auto" w:fill="auto"/>
        <w:spacing w:after="160" w:line="240" w:lineRule="auto"/>
        <w:ind w:right="-8"/>
        <w:rPr>
          <w:rFonts w:ascii="GHEA Grapalat" w:hAnsi="GHEA Grapalat"/>
          <w:sz w:val="24"/>
          <w:szCs w:val="24"/>
        </w:rPr>
      </w:pPr>
      <w:r w:rsidRPr="00035820">
        <w:rPr>
          <w:rStyle w:val="Bodytext3Spacing2pt"/>
          <w:rFonts w:ascii="GHEA Grapalat" w:hAnsi="GHEA Grapalat"/>
          <w:b/>
          <w:sz w:val="24"/>
          <w:szCs w:val="24"/>
        </w:rPr>
        <w:t>ՄԵԹՈԴԱԲԱՆՈՒԹՅՈՒՆ</w:t>
      </w:r>
    </w:p>
    <w:p w:rsidR="00DB1B92" w:rsidRPr="00035820" w:rsidRDefault="00DB1B92" w:rsidP="00DB1B92">
      <w:pPr>
        <w:pStyle w:val="Bodytext30"/>
        <w:shd w:val="clear" w:color="auto" w:fill="auto"/>
        <w:spacing w:after="160" w:line="24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</w:t>
      </w:r>
      <w:r w:rsidRPr="00035820">
        <w:rPr>
          <w:rFonts w:ascii="GHEA Grapalat" w:hAnsi="GHEA Grapalat"/>
          <w:sz w:val="24"/>
          <w:szCs w:val="24"/>
        </w:rPr>
        <w:br/>
        <w:t>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</w:t>
      </w:r>
    </w:p>
    <w:p w:rsidR="00DB1B92" w:rsidRDefault="00DB1B92" w:rsidP="00DB1B92">
      <w:pPr>
        <w:pStyle w:val="Bodytext20"/>
        <w:numPr>
          <w:ilvl w:val="0"/>
          <w:numId w:val="2"/>
        </w:numPr>
        <w:shd w:val="clear" w:color="auto" w:fill="auto"/>
        <w:spacing w:before="0" w:after="0" w:line="240" w:lineRule="auto"/>
        <w:ind w:right="-8"/>
        <w:contextualSpacing/>
        <w:jc w:val="center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t>Ընդհանուր դրույթներ</w:t>
      </w:r>
    </w:p>
    <w:p w:rsidR="00DB1B92" w:rsidRPr="009E41EC" w:rsidRDefault="00DB1B92" w:rsidP="00DB1B92">
      <w:pPr>
        <w:pStyle w:val="Bodytext20"/>
        <w:shd w:val="clear" w:color="auto" w:fill="auto"/>
        <w:spacing w:before="0" w:after="0" w:line="240" w:lineRule="auto"/>
        <w:ind w:left="1080" w:right="-8" w:firstLine="0"/>
        <w:contextualSpacing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1.</w:t>
      </w:r>
      <w:r w:rsidRPr="00035820">
        <w:rPr>
          <w:rFonts w:ascii="GHEA Grapalat" w:hAnsi="GHEA Grapalat"/>
          <w:sz w:val="24"/>
          <w:szCs w:val="24"/>
        </w:rPr>
        <w:tab/>
        <w:t xml:space="preserve">Սույն Մեթոդաբանությունը մշակվել է </w:t>
      </w:r>
      <w:r>
        <w:rPr>
          <w:rFonts w:ascii="GHEA Grapalat" w:hAnsi="GHEA Grapalat"/>
          <w:sz w:val="24"/>
          <w:szCs w:val="24"/>
        </w:rPr>
        <w:t></w:t>
      </w:r>
      <w:r w:rsidRPr="00035820">
        <w:rPr>
          <w:rFonts w:ascii="GHEA Grapalat" w:hAnsi="GHEA Grapalat"/>
          <w:sz w:val="24"/>
          <w:szCs w:val="24"/>
        </w:rPr>
        <w:t>Եվրասիական տնտեսական միության</w:t>
      </w:r>
      <w:r w:rsidRPr="00035820">
        <w:rPr>
          <w:rFonts w:ascii="Sylfaen" w:hAnsi="Sylfaen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t>մասին</w:t>
      </w:r>
      <w:r>
        <w:rPr>
          <w:rFonts w:ascii="GHEA Grapalat" w:hAnsi="GHEA Grapalat"/>
          <w:sz w:val="24"/>
          <w:szCs w:val="24"/>
        </w:rPr>
        <w:t></w:t>
      </w:r>
      <w:r w:rsidRPr="00035820">
        <w:rPr>
          <w:rFonts w:ascii="GHEA Grapalat" w:hAnsi="GHEA Grapalat"/>
          <w:sz w:val="24"/>
          <w:szCs w:val="24"/>
        </w:rPr>
        <w:t xml:space="preserve"> 2014 թվականի մայիսի 29-ի պայմանագրի 80-րդ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104-րդ հոդվածների դրույթների իրագործման նպատակով,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դրանով սահմանվում են Եվրասիական տնտեսական միության (այսուհետ` Միություն)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նկատմամբ հիմնական մոտեցումները: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2.</w:t>
      </w:r>
      <w:r w:rsidRPr="00035820">
        <w:rPr>
          <w:rFonts w:ascii="GHEA Grapalat" w:hAnsi="GHEA Grapalat"/>
          <w:sz w:val="24"/>
          <w:szCs w:val="24"/>
        </w:rPr>
        <w:tab/>
        <w:t xml:space="preserve">Միության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հաշվեկշիռներով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ավորվում է Միության շրջանակներում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Միության անդամ պետություններում (այսուհետ՝ անդամ պետություններ) օգտագործվող ցուցանիշների միասնական համակարգը: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3.</w:t>
      </w:r>
      <w:r w:rsidRPr="00035820">
        <w:rPr>
          <w:rFonts w:ascii="GHEA Grapalat" w:hAnsi="GHEA Grapalat"/>
          <w:sz w:val="24"/>
          <w:szCs w:val="24"/>
        </w:rPr>
        <w:tab/>
        <w:t xml:space="preserve">Միության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ավորվում են 5-ամյա ժամանակահատվածի համար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ներառում են նախորդ տարվա հաշվետու ցուցանիշները, ընթացիկ տարվա ակնկալվող ցուցանիշներն ու հաջորդող 3 տարվա կանխատեսումային ցուցանիշները: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</w:p>
    <w:p w:rsidR="00DB1B92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t>II. Սահմանումները</w:t>
      </w:r>
    </w:p>
    <w:p w:rsidR="00DB1B92" w:rsidRPr="009E41EC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4.</w:t>
      </w:r>
      <w:r w:rsidRPr="00035820">
        <w:rPr>
          <w:rFonts w:ascii="GHEA Grapalat" w:hAnsi="GHEA Grapalat"/>
          <w:sz w:val="24"/>
          <w:szCs w:val="24"/>
        </w:rPr>
        <w:tab/>
        <w:t>Սույն Մեթոդաբանության մեջ օգտագործվող հասկացություններն ունեն հետ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յալ իմաստը՝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«անդամ պետության ինդիկատիվ (կանխատեսումային) հաշվեկշիռ»՝ Միության ինդիկատիվ (կանխատեսումային) հաշվեկշռի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ավորման նպատակներով անդամ պետության տարածքում համապատասխանաբար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նկատմամբ՝ լիազորված մարմինների կողմից մշակվող հաշվեկշիռ.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«Միության ինդիկատիվ (կանխատեսումային) հաշվեկշիռ»՝ անդամ պետությունների ինդիկատիվ (կանխատեսումային) հաշվեկշիռների հիման վրա Միության մաքսային տարածքում համապատասխանաբար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</w:t>
      </w:r>
      <w:r w:rsidRPr="00035820">
        <w:rPr>
          <w:rFonts w:ascii="GHEA Grapalat" w:hAnsi="GHEA Grapalat"/>
          <w:sz w:val="24"/>
          <w:szCs w:val="24"/>
        </w:rPr>
        <w:lastRenderedPageBreak/>
        <w:t>նավթամթերքների նկատմամբ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ավորվող հաշվեկշիռ.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«հաշվեկշիռ»՝ անդամ պետությունների տարածքներում կամ Միության մաքսային տարածքում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արտադրությունը, սպառումը, այլ մուտքեր ու կորուստներ, ներմուծումը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արտահանումը բնութագրող ցուցանիշների համակարգ.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«ավտոմոբիլային բենզին»՝ բոլոր մակնիշների ավտոմոբիլային բենզիններ.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«գազ»՝ բնական գազ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ուղեկից նավթագազ, ինչպես նա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գազային խտուցքի կայունացման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դեէթանիզացիայի արդյունքում ստացված գազ.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«ներմուծում». 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պետության տարածք ներմուծվող գազի, նավթի, նավթամթերքների քանակը, ինչի արդյունքում անդամ պետության տարածքում ավելանում է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Միության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պետությունների տարածքներ ներմուծվող գազի, նավթի, նավթամթերքների քանակը, ինչի արդյունքում Միության մաքսային տարածքում ավելանում է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«ջեռուցման մազութ»՝ բոլոր մակնիշների ջեռուցման մազութներ.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«նավթահումք»՝ չմշակված նավթ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գազային խտուցք.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«կորուստներ»՝ խողովակաշարային տրանսպորտով տրանսպորտային փոխադրման ժամանակ առաջացող նավթահումքի կորուստներ.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«վերականգնված հումք» (երկրորդային նավթահումք)՝ ուղեկից նավթագազից*, լցանավերի՝ նավթ պարունակող բալաստային ջրերից, շլամային ամբարներից, աղտոտված գրունտից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այլնից արտազատված հեղուկ ածխաջրածիններ.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«դիզելային վառելիք»՝ բոլոր մակնիշների դիզելային վառելիք (ամառային, ձմեռային, արկտիկական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այլ).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«ռեակտիվ շարժիչների համար նախատեսված վառելիք»՝ ռեակտիվ ավիացիոն շարժիչներում օգտագործելու համար նախատեսված վառելիք.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«արտահանում».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պետության տարածքից դուրս հանվող գազի, նավթի, նավթամթերքների քանակը, ինչի արդյունքում անդամ պետության տարածքում նվազում է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Միության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հաշվեկշիռներում՝ մեծություն, որով բնութագրվում է անդամ պետության տարածքից դուրս հանվող գազի, նավթի, նավթամթերքների քանակը, ինչի արդյունքում Միության մաքսային տարածքում նվազում է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քանակը: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</w:p>
    <w:p w:rsidR="00DB1B92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lastRenderedPageBreak/>
        <w:t xml:space="preserve">III.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</w:t>
      </w:r>
      <w:r w:rsidRPr="00035820">
        <w:rPr>
          <w:rFonts w:ascii="GHEA Grapalat" w:hAnsi="GHEA Grapalat"/>
          <w:sz w:val="24"/>
          <w:szCs w:val="24"/>
        </w:rPr>
        <w:br/>
        <w:t>(կանխատեսումային) հաշվեկշիռների կառուցվածքը</w:t>
      </w:r>
    </w:p>
    <w:p w:rsidR="00DB1B92" w:rsidRPr="009E41EC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5.</w:t>
      </w:r>
      <w:r w:rsidRPr="00035820">
        <w:rPr>
          <w:rFonts w:ascii="GHEA Grapalat" w:hAnsi="GHEA Grapalat"/>
          <w:sz w:val="24"/>
          <w:szCs w:val="24"/>
        </w:rPr>
        <w:tab/>
        <w:t xml:space="preserve">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հաշվեկշիռները կազմված են 2 հավասարակշռվող բլոկներից՝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առաջին բլոկ՝ «Մուտքային մաս՝ ռեսուրսներ»՝ բնութագրում է անդամ պետությունում գազի, նավթի, նավթամթերքների արտադրության (արդյունահանման) ու մատակարարումների կառուցվածքը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պարունակում է հետ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յալ հոդվածները (ցուցանիշները)՝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«Արտադրություն (արդյունահանում)».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«Այլ մուտքեր».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«Ներմուծում անդամ պետություններից».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«Ներմուծում երրորդ պետություններից».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երկրորդ բլոկ՝ «Ծախսային մաս՝ բաշխում»՝ բնութագրում է անդամ պետությունում գազի, նավթի, նավթամթերքների բաշխման կառուցվածքը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պարունակում է հետ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յալ հոդվածները (ցուցանիշները)՝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«Արտահանում անդամ պետություններ».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«Արտահանում երրորդ պետություններ».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«Մատակարարում ներքին շուկա».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«Կորուստներ»: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6.</w:t>
      </w:r>
      <w:r w:rsidRPr="00035820">
        <w:rPr>
          <w:rFonts w:ascii="GHEA Grapalat" w:hAnsi="GHEA Grapalat"/>
          <w:sz w:val="24"/>
          <w:szCs w:val="24"/>
        </w:rPr>
        <w:tab/>
      </w:r>
      <w:r w:rsidRPr="00035820">
        <w:rPr>
          <w:rFonts w:ascii="GHEA Grapalat" w:hAnsi="GHEA Grapalat"/>
          <w:spacing w:val="-2"/>
          <w:sz w:val="24"/>
          <w:szCs w:val="24"/>
        </w:rPr>
        <w:t xml:space="preserve">Գազի, նավթի </w:t>
      </w:r>
      <w:r>
        <w:rPr>
          <w:rFonts w:ascii="GHEA Grapalat" w:hAnsi="GHEA Grapalat"/>
          <w:spacing w:val="-2"/>
          <w:sz w:val="24"/>
          <w:szCs w:val="24"/>
        </w:rPr>
        <w:t>և</w:t>
      </w:r>
      <w:r w:rsidRPr="00035820">
        <w:rPr>
          <w:rFonts w:ascii="GHEA Grapalat" w:hAnsi="GHEA Grapalat"/>
          <w:spacing w:val="-2"/>
          <w:sz w:val="24"/>
          <w:szCs w:val="24"/>
        </w:rPr>
        <w:t xml:space="preserve"> նավթամթերքների ինդիկատիվ (կանխատեսումային) հաշվեկշիռների առանձին հոդվածների (ցուցանիշների) ձ</w:t>
      </w:r>
      <w:r>
        <w:rPr>
          <w:rFonts w:ascii="GHEA Grapalat" w:hAnsi="GHEA Grapalat"/>
          <w:spacing w:val="-2"/>
          <w:sz w:val="24"/>
          <w:szCs w:val="24"/>
        </w:rPr>
        <w:t>և</w:t>
      </w:r>
      <w:r w:rsidRPr="00035820">
        <w:rPr>
          <w:rFonts w:ascii="GHEA Grapalat" w:hAnsi="GHEA Grapalat"/>
          <w:spacing w:val="-2"/>
          <w:sz w:val="24"/>
          <w:szCs w:val="24"/>
        </w:rPr>
        <w:t>ավորման առանձնահատկությունները սահմանված են սույն Մեթոդաբանության IV բաժնում: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7.</w:t>
      </w:r>
      <w:r w:rsidRPr="00035820">
        <w:rPr>
          <w:rFonts w:ascii="GHEA Grapalat" w:hAnsi="GHEA Grapalat"/>
          <w:sz w:val="24"/>
          <w:szCs w:val="24"/>
        </w:rPr>
        <w:tab/>
        <w:t xml:space="preserve">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ցուցանիշների արժեքները ներկայացվում են բնական չափման միավորներով՝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գազի համար՝ միլիարդ խորանարդ մետրերով.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նավթահումքի համար՝ միլիոն տոննաներով.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ավտոմոբիլային բենզինի, դիզելային վառելիքի, ջեռուցման մազութի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ռեակտիվ շարժիչների համար նախատեսված վառելիքի համար՝ հազար տոննաներով: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Անդամ պետությունների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ավորման ժամանակ անդամ պետությունների լիազորված մարմիններն անդամ պետությունների ներքին կարիքների բավարարման համար միմյանց հետ անցկացնում են անդամ պետություններից ներմուծման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անդամ պետություններ արտահանման ցուցանիշների համաձայնեցում: Անդամ պետությունների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Միության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հաշվեկշիռներում երրորդ պետություններից ներմուծումը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երրորդ պետություններ արտահանումը բնութագրող ցուցանիշները կրում են տեղեկատվական բնույթ,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չեն պահանջ</w:t>
      </w:r>
      <w:r w:rsidRPr="00035820">
        <w:rPr>
          <w:rFonts w:ascii="GHEA Grapalat" w:hAnsi="GHEA Grapalat"/>
          <w:sz w:val="24"/>
          <w:szCs w:val="24"/>
        </w:rPr>
        <w:t>ո</w:t>
      </w:r>
      <w:r>
        <w:rPr>
          <w:rFonts w:ascii="GHEA Grapalat" w:hAnsi="GHEA Grapalat"/>
          <w:sz w:val="24"/>
          <w:szCs w:val="24"/>
        </w:rPr>
        <w:t xml:space="preserve">ւմ </w:t>
      </w:r>
      <w:r w:rsidRPr="00035820">
        <w:rPr>
          <w:rFonts w:ascii="GHEA Grapalat" w:hAnsi="GHEA Grapalat"/>
          <w:sz w:val="24"/>
          <w:szCs w:val="24"/>
        </w:rPr>
        <w:t xml:space="preserve">համաձայնեցում Եվրասիական տնտեսական հանձնաժողովի ու անդամ պետությունների </w:t>
      </w:r>
      <w:r>
        <w:rPr>
          <w:rFonts w:ascii="GHEA Grapalat" w:hAnsi="GHEA Grapalat"/>
          <w:sz w:val="24"/>
          <w:szCs w:val="24"/>
        </w:rPr>
        <w:t>հետ</w:t>
      </w:r>
      <w:r w:rsidRPr="00035820">
        <w:rPr>
          <w:rFonts w:ascii="GHEA Grapalat" w:hAnsi="GHEA Grapalat"/>
          <w:sz w:val="24"/>
          <w:szCs w:val="24"/>
        </w:rPr>
        <w:t>:</w:t>
      </w:r>
    </w:p>
    <w:p w:rsidR="00DB1B92" w:rsidRDefault="00DB1B92" w:rsidP="00DB1B92">
      <w:pPr>
        <w:contextualSpacing/>
        <w:jc w:val="center"/>
        <w:rPr>
          <w:rFonts w:ascii="GHEA Grapalat" w:hAnsi="GHEA Grapalat"/>
        </w:rPr>
      </w:pPr>
    </w:p>
    <w:p w:rsidR="00DB1B92" w:rsidRPr="00035820" w:rsidRDefault="00DB1B92" w:rsidP="00DB1B92">
      <w:pPr>
        <w:contextualSpacing/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t>IV. Ինդիկատիվ (կանխատեսումային) հաշվեկշիռների առանձին հոդվածների (ցուցանիշների) ձ</w:t>
      </w:r>
      <w:r>
        <w:rPr>
          <w:rFonts w:ascii="GHEA Grapalat" w:hAnsi="GHEA Grapalat"/>
        </w:rPr>
        <w:t>և</w:t>
      </w:r>
      <w:r w:rsidRPr="00035820">
        <w:rPr>
          <w:rFonts w:ascii="GHEA Grapalat" w:hAnsi="GHEA Grapalat"/>
        </w:rPr>
        <w:t>ավորման առանձնահատկությունները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1. Գազի ինդիկատիվ (կանխատեսումային) հաշվեկշիռը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8.</w:t>
      </w:r>
      <w:r w:rsidRPr="00035820">
        <w:rPr>
          <w:rFonts w:ascii="GHEA Grapalat" w:hAnsi="GHEA Grapalat"/>
          <w:sz w:val="24"/>
          <w:szCs w:val="24"/>
        </w:rPr>
        <w:tab/>
        <w:t>Անդամ պետության գազի ինդիկատիվ (կանխատեսումային) հաշվեկշիռը մշակվում է սույն Մեթոդաբանության թիվ 1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9.</w:t>
      </w:r>
      <w:r w:rsidRPr="00035820">
        <w:rPr>
          <w:rFonts w:ascii="GHEA Grapalat" w:hAnsi="GHEA Grapalat"/>
          <w:sz w:val="24"/>
          <w:szCs w:val="24"/>
        </w:rPr>
        <w:tab/>
        <w:t>Միության գազի ինդիկատիվ (կանխատեսումային) հաշվեկշիռը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2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10.</w:t>
      </w:r>
      <w:r w:rsidRPr="00035820">
        <w:rPr>
          <w:rFonts w:ascii="GHEA Grapalat" w:hAnsi="GHEA Grapalat"/>
          <w:sz w:val="24"/>
          <w:szCs w:val="24"/>
        </w:rPr>
        <w:tab/>
        <w:t xml:space="preserve">«Գազի, այդ թվում՝ ուղեկից նավթագազի արդյունահանում» հոդվածում նշվում է ընդերքից բնական գազի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ուղեկից նավթագազի արդյունահանման հանրագումարային ծավալը: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Ջահերում այրված ուղեկից նավթագազի ծավալը «Գազի, այդ թվում՝ ուղեկից նավթագազի արդյունահանում» հոդվածում չի ներառվում: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Շերտ հետ ներմղված գազի ծավալը «Գազի, այդ թվում՝ ուղեկից նավթագազի արդյունահանում» հոդվածում չի ներառվում: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11.</w:t>
      </w:r>
      <w:r w:rsidRPr="00035820">
        <w:rPr>
          <w:rFonts w:ascii="GHEA Grapalat" w:hAnsi="GHEA Grapalat"/>
          <w:sz w:val="24"/>
          <w:szCs w:val="24"/>
        </w:rPr>
        <w:tab/>
        <w:t>«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Այլ մուտքեր» հոդվածում հաշվի են առնվում գազային խտուցքի կայունացման </w:t>
      </w:r>
      <w:r>
        <w:rPr>
          <w:rFonts w:ascii="GHEA Grapalat" w:hAnsi="GHEA Grapalat"/>
          <w:spacing w:val="-4"/>
          <w:sz w:val="24"/>
          <w:szCs w:val="24"/>
        </w:rPr>
        <w:t>և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դեէթանիզացիայի գազը, ինչպես նա</w:t>
      </w:r>
      <w:r>
        <w:rPr>
          <w:rFonts w:ascii="GHEA Grapalat" w:hAnsi="GHEA Grapalat"/>
          <w:spacing w:val="-4"/>
          <w:sz w:val="24"/>
          <w:szCs w:val="24"/>
        </w:rPr>
        <w:t>և</w:t>
      </w:r>
      <w:r w:rsidRPr="00035820">
        <w:rPr>
          <w:rFonts w:ascii="GHEA Grapalat" w:hAnsi="GHEA Grapalat"/>
          <w:spacing w:val="-4"/>
          <w:sz w:val="24"/>
          <w:szCs w:val="24"/>
        </w:rPr>
        <w:t xml:space="preserve"> գազի ստորգետնյա պահեստարաններում ու գազատար ցանցերում գազի պաշարների փոփոխությունը: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12.</w:t>
      </w:r>
      <w:r w:rsidRPr="00035820">
        <w:rPr>
          <w:rFonts w:ascii="GHEA Grapalat" w:hAnsi="GHEA Grapalat"/>
          <w:sz w:val="24"/>
          <w:szCs w:val="24"/>
        </w:rPr>
        <w:tab/>
        <w:t>«Ներմուծում» հոդվածում առանձնացվում են խողովակաշարային տրանսպորտով գազի ներմուծման (մատակարարումների) ծավալներն արտացոլելու համար ենթահոդվածներ: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13.</w:t>
      </w:r>
      <w:r w:rsidRPr="00035820">
        <w:rPr>
          <w:rFonts w:ascii="GHEA Grapalat" w:hAnsi="GHEA Grapalat"/>
          <w:sz w:val="24"/>
          <w:szCs w:val="24"/>
        </w:rPr>
        <w:tab/>
        <w:t xml:space="preserve">«Արտահանում» հոդվածում առանձնացվում են խողովակաշարային տրանսպորտով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հեղուկացված բնական գազի տեսքով գազի արտահանման (մատակարարումների) ծավալներն արտացոլելու համար ենթահոդվածներ:</w:t>
      </w:r>
    </w:p>
    <w:p w:rsidR="00DB1B92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0"/>
        <w:contextualSpacing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2. Նավթահումքի ինդիկատիվ (կանխատեսումային) հաշվեկշիռը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14.</w:t>
      </w:r>
      <w:r w:rsidRPr="00035820">
        <w:rPr>
          <w:rFonts w:ascii="GHEA Grapalat" w:hAnsi="GHEA Grapalat"/>
          <w:sz w:val="24"/>
          <w:szCs w:val="24"/>
        </w:rPr>
        <w:tab/>
        <w:t>Անդամ պետության նավթահումքի ինդիկատիվ (կանխատեսումային) հաշվեկշիռը մշակվում է սույն Մեթոդաբանության թիվ 3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15.</w:t>
      </w:r>
      <w:r w:rsidRPr="00035820">
        <w:rPr>
          <w:rFonts w:ascii="GHEA Grapalat" w:hAnsi="GHEA Grapalat"/>
          <w:sz w:val="24"/>
          <w:szCs w:val="24"/>
        </w:rPr>
        <w:tab/>
        <w:t>Միության նավթահումքի ինդիկատիվ (կանխատեսումային) հաշվեկշիռը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4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16.</w:t>
      </w:r>
      <w:r w:rsidRPr="00035820">
        <w:rPr>
          <w:rFonts w:ascii="GHEA Grapalat" w:hAnsi="GHEA Grapalat"/>
          <w:sz w:val="24"/>
          <w:szCs w:val="24"/>
        </w:rPr>
        <w:tab/>
        <w:t>«Նավթի, այդ թվում՝ գազային խտուցքի արդյունահանում» հոդվածում նշվում է ընդերքից նավթահումքի արդյունահանման ծավալը: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17.</w:t>
      </w:r>
      <w:r w:rsidRPr="00035820">
        <w:rPr>
          <w:rFonts w:ascii="GHEA Grapalat" w:hAnsi="GHEA Grapalat"/>
          <w:sz w:val="24"/>
          <w:szCs w:val="24"/>
        </w:rPr>
        <w:tab/>
        <w:t>«Այլ մուտքեր» հոդվածում հաշվի է առնվում վերականգնված նավթահումքի արտադրության ծավալը, ինչպես նա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մագիստրալային նավթամուղային տրանսպորտի համակարգում, նավթավերամշակման գործարանների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ընդերքօգտագործողների պահեստարաններում նավթահումքի մնացորդների փոփոխությունը: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18.</w:t>
      </w:r>
      <w:r w:rsidRPr="00035820">
        <w:rPr>
          <w:rFonts w:ascii="GHEA Grapalat" w:hAnsi="GHEA Grapalat"/>
          <w:sz w:val="24"/>
          <w:szCs w:val="24"/>
        </w:rPr>
        <w:tab/>
        <w:t xml:space="preserve">«Ներմուծում» հոդվածում առանձնացվում են խողովակաշարային </w:t>
      </w:r>
      <w:r w:rsidRPr="00035820">
        <w:rPr>
          <w:rFonts w:ascii="GHEA Grapalat" w:hAnsi="GHEA Grapalat"/>
          <w:sz w:val="24"/>
          <w:szCs w:val="24"/>
        </w:rPr>
        <w:lastRenderedPageBreak/>
        <w:t>տրանսպորտով նավթահումքի ներմուծման (մատակարարումների) ծավալներն արտացոլելու համար ենթահոդվածներ: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19.</w:t>
      </w:r>
      <w:r w:rsidRPr="00035820">
        <w:rPr>
          <w:rFonts w:ascii="GHEA Grapalat" w:hAnsi="GHEA Grapalat"/>
          <w:sz w:val="24"/>
          <w:szCs w:val="24"/>
        </w:rPr>
        <w:tab/>
        <w:t>«Արտահանում» հոդվածում խողովակաշարային տրանսպորտով նավթահումքի արտահանման (մատակարարումների) ծավալներն արտացոլելու համար ենթահոդվածներ չեն առանձնացվում: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20.</w:t>
      </w:r>
      <w:r w:rsidRPr="00035820">
        <w:rPr>
          <w:rFonts w:ascii="GHEA Grapalat" w:hAnsi="GHEA Grapalat"/>
          <w:sz w:val="24"/>
          <w:szCs w:val="24"/>
        </w:rPr>
        <w:tab/>
        <w:t xml:space="preserve">Նավթահումքի արդյունահանման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կայունացման ժամանակ առաջացող կորուստները նավթահումքի ինդիկատիվ (կանխատեսումային) հաշվեկշռի հոդվածներում չեն ներառվում՝ բացի խողովակաշարային տրանսպորտով տրանսպորտային փոխադրման ժամանակ առաջացող նավթահումքի կորուստներից: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6" w:firstLine="0"/>
        <w:contextualSpacing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3. Ավտոմոբիլային բենզինի ինդիկատիվ (կանխատեսումային) հաշվեկշիռը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21.</w:t>
      </w:r>
      <w:r w:rsidRPr="00035820">
        <w:rPr>
          <w:rFonts w:ascii="GHEA Grapalat" w:hAnsi="GHEA Grapalat"/>
          <w:sz w:val="24"/>
          <w:szCs w:val="24"/>
        </w:rPr>
        <w:tab/>
        <w:t>Անդամ պետության ավտոմոբիլային բենզինի ինդիկատիվ (կանխատեսումային) հաշվեկշիռը մշակվում է սույն Մեթոդաբանության թիվ 5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22.</w:t>
      </w:r>
      <w:r w:rsidRPr="00035820">
        <w:rPr>
          <w:rFonts w:ascii="GHEA Grapalat" w:hAnsi="GHEA Grapalat"/>
          <w:sz w:val="24"/>
          <w:szCs w:val="24"/>
        </w:rPr>
        <w:tab/>
        <w:t>Միության ավտոմոբիլային բենզինի ինդիկատիվ (կանխատեսումային) հաշվեկշիռը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6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23.</w:t>
      </w:r>
      <w:r w:rsidRPr="00035820">
        <w:rPr>
          <w:rFonts w:ascii="GHEA Grapalat" w:hAnsi="GHEA Grapalat"/>
          <w:sz w:val="24"/>
          <w:szCs w:val="24"/>
        </w:rPr>
        <w:tab/>
        <w:t>«Արտադրություն» հոդվածում նշվում է նավթավերամշակման գործարաններում ավտոմոբիլային բենզինի արտադրության ծավալը: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24.</w:t>
      </w:r>
      <w:r w:rsidRPr="00035820">
        <w:rPr>
          <w:rFonts w:ascii="GHEA Grapalat" w:hAnsi="GHEA Grapalat"/>
          <w:sz w:val="24"/>
          <w:szCs w:val="24"/>
        </w:rPr>
        <w:tab/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ավտոմոբիլային բենզինի պաշարների փոփոխությունները: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25.</w:t>
      </w:r>
      <w:r w:rsidRPr="00035820">
        <w:rPr>
          <w:rFonts w:ascii="GHEA Grapalat" w:hAnsi="GHEA Grapalat"/>
          <w:sz w:val="24"/>
          <w:szCs w:val="24"/>
        </w:rPr>
        <w:tab/>
        <w:t>«Ներմուծում» հոդվածում խողովակաշարային տրանսպորտով ավտոմոբիլային բենզինի ներմուծման (մատակարարումների) ծավալներն արտացոլելու համար ենթահոդվածներ չեն առանձնացվում: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26.</w:t>
      </w:r>
      <w:r w:rsidRPr="00035820">
        <w:rPr>
          <w:rFonts w:ascii="GHEA Grapalat" w:hAnsi="GHEA Grapalat"/>
          <w:sz w:val="24"/>
          <w:szCs w:val="24"/>
        </w:rPr>
        <w:tab/>
        <w:t>«Արտահանում» հոդվածում խողովակաշարային տրանսպորտով ավտոմոբիլային բենզինի արտահանման (մատակարարումների) ծավալներն արտացոլելու համար ենթահոդվածներ չեն առանձնացվում: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6" w:firstLine="0"/>
        <w:contextualSpacing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4. Դիզելային վառելիքի ինդիկատիվ (կանխատեսումային) հաշվեկշիռը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27.</w:t>
      </w:r>
      <w:r w:rsidRPr="00035820">
        <w:rPr>
          <w:rFonts w:ascii="GHEA Grapalat" w:hAnsi="GHEA Grapalat"/>
          <w:sz w:val="24"/>
          <w:szCs w:val="24"/>
        </w:rPr>
        <w:tab/>
        <w:t>Անդամ պետության դիզելային վառելիքի ինդիկատիվ (կանխատեսումային) հաշվեկշիռը մշակվում է սույն Մեթոդաբանության թիվ 7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28.</w:t>
      </w:r>
      <w:r w:rsidRPr="00035820">
        <w:rPr>
          <w:rFonts w:ascii="GHEA Grapalat" w:hAnsi="GHEA Grapalat"/>
          <w:sz w:val="24"/>
          <w:szCs w:val="24"/>
        </w:rPr>
        <w:tab/>
        <w:t>Միության դիզելային վառելիքի ինդիկատիվ (կանխատեսումային) հաշվեկշիռը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8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29.</w:t>
      </w:r>
      <w:r w:rsidRPr="00035820">
        <w:rPr>
          <w:rFonts w:ascii="GHEA Grapalat" w:hAnsi="GHEA Grapalat"/>
          <w:sz w:val="24"/>
          <w:szCs w:val="24"/>
        </w:rPr>
        <w:tab/>
        <w:t>«Արտադրություն» հոդվածում նշվում է նավթավերամշակման գործարաններում դիզելային վառելիքի արտադրության ծավալը: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30.</w:t>
      </w:r>
      <w:r w:rsidRPr="00035820">
        <w:rPr>
          <w:rFonts w:ascii="GHEA Grapalat" w:hAnsi="GHEA Grapalat"/>
          <w:sz w:val="24"/>
          <w:szCs w:val="24"/>
        </w:rPr>
        <w:tab/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</w:t>
      </w:r>
      <w:r w:rsidRPr="00035820">
        <w:rPr>
          <w:rFonts w:ascii="GHEA Grapalat" w:hAnsi="GHEA Grapalat"/>
          <w:sz w:val="24"/>
          <w:szCs w:val="24"/>
        </w:rPr>
        <w:lastRenderedPageBreak/>
        <w:t>պահեստարաններում դիզելային վառելիքի պաշարների փոփոխությունները: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31.</w:t>
      </w:r>
      <w:r w:rsidRPr="00035820">
        <w:rPr>
          <w:rFonts w:ascii="GHEA Grapalat" w:hAnsi="GHEA Grapalat"/>
          <w:sz w:val="24"/>
          <w:szCs w:val="24"/>
        </w:rPr>
        <w:tab/>
        <w:t>«Ներմուծում» հոդվածում խողովակաշարային տրանսպորտով դիզելային վառելիքի ներմուծման (մատակարարումների) ծավալներն արտացոլելու համար ենթահոդվածներ չեն առանձնացվում: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32.</w:t>
      </w:r>
      <w:r w:rsidRPr="00035820">
        <w:rPr>
          <w:rFonts w:ascii="GHEA Grapalat" w:hAnsi="GHEA Grapalat"/>
          <w:sz w:val="24"/>
          <w:szCs w:val="24"/>
        </w:rPr>
        <w:tab/>
        <w:t>«Արտահանում» հոդվածում խողովակաշարային տրանսպորտով դիզելային վառելիքի արտահանման (մատակարարումների) ծավալներն արտացոլելու համար ենթահոդվածներ չեն առանձնացվում:</w:t>
      </w:r>
    </w:p>
    <w:p w:rsidR="00DB1B92" w:rsidRDefault="00DB1B92" w:rsidP="00DB1B92">
      <w:pPr>
        <w:pStyle w:val="Bodytext20"/>
        <w:shd w:val="clear" w:color="auto" w:fill="auto"/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  <w:lang w:val="ru-RU"/>
        </w:rPr>
      </w:pPr>
    </w:p>
    <w:p w:rsidR="00DB1B92" w:rsidRPr="009E41EC" w:rsidRDefault="00DB1B92" w:rsidP="00DB1B92">
      <w:pPr>
        <w:pStyle w:val="Bodytext20"/>
        <w:shd w:val="clear" w:color="auto" w:fill="auto"/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right="-6" w:firstLine="0"/>
        <w:contextualSpacing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5. Ջեռուցման մազութի ինդիկատիվ (կանխատեսումային) հաշվեկշիռը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33.</w:t>
      </w:r>
      <w:r w:rsidRPr="00035820">
        <w:rPr>
          <w:rFonts w:ascii="GHEA Grapalat" w:hAnsi="GHEA Grapalat"/>
          <w:sz w:val="24"/>
          <w:szCs w:val="24"/>
        </w:rPr>
        <w:tab/>
        <w:t>Անդամ պետության ջեռուցման մազութի ինդիկատիվ (կանխատեսումային) հաշվեկշիռը մշակվում է սույն Մեթոդաբանության թիվ 9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34.</w:t>
      </w:r>
      <w:r w:rsidRPr="00035820">
        <w:rPr>
          <w:rFonts w:ascii="GHEA Grapalat" w:hAnsi="GHEA Grapalat"/>
          <w:sz w:val="24"/>
          <w:szCs w:val="24"/>
        </w:rPr>
        <w:tab/>
        <w:t>Միության ջեռուցման մազութի ինդիկատիվ (կանխատեսումային) հաշվեկշիռը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10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35.</w:t>
      </w:r>
      <w:r w:rsidRPr="00035820">
        <w:rPr>
          <w:rFonts w:ascii="GHEA Grapalat" w:hAnsi="GHEA Grapalat"/>
          <w:sz w:val="24"/>
          <w:szCs w:val="24"/>
        </w:rPr>
        <w:tab/>
        <w:t>«Արտադրություն» հոդվածում նշվում է նավթավերամշակման գործարաններում ջեռուցման մազութի ապրանքային արտադրության ծավալը: Նավթավերամշակման գործարանների տեխնոլոգիական կարիքների համար ծախսը ջեռուցման մազութի հաշվեկշիռներում չի ներառվում: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6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36.</w:t>
      </w:r>
      <w:r w:rsidRPr="00035820">
        <w:rPr>
          <w:rFonts w:ascii="GHEA Grapalat" w:hAnsi="GHEA Grapalat"/>
          <w:sz w:val="24"/>
          <w:szCs w:val="24"/>
        </w:rPr>
        <w:tab/>
        <w:t xml:space="preserve">«Այլ մուտքեր» հոդվածում հաշվի են առնվում նավթավերամշակման գործարանների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ջեռուցման մազութի պաշարների փոփոխությունները:</w:t>
      </w:r>
    </w:p>
    <w:p w:rsidR="00DB1B92" w:rsidRDefault="00DB1B92" w:rsidP="00DB1B92">
      <w:pPr>
        <w:pStyle w:val="Bodytext20"/>
        <w:shd w:val="clear" w:color="auto" w:fill="auto"/>
        <w:spacing w:before="0" w:after="0" w:line="240" w:lineRule="auto"/>
        <w:ind w:left="1134" w:right="1126" w:firstLine="0"/>
        <w:contextualSpacing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0" w:line="240" w:lineRule="auto"/>
        <w:ind w:left="1134" w:right="1126" w:firstLine="0"/>
        <w:contextualSpacing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6. Ռեակտիվ շարժիչների համար նախատեսված վառելիքի ինդիկատիվ (կանխատեսումային) հաշվեկշիռը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37.</w:t>
      </w:r>
      <w:r w:rsidRPr="00035820">
        <w:rPr>
          <w:rFonts w:ascii="GHEA Grapalat" w:hAnsi="GHEA Grapalat"/>
          <w:sz w:val="24"/>
          <w:szCs w:val="24"/>
        </w:rPr>
        <w:tab/>
        <w:t>Անդամ պետության ռեակտիվ շարժիչների համար նախատեսված վառելիքի ինդիկատիվ (կանխատեսումային) հաշվեկշիռը մշակվում է սույն Մեթոդաբանության թիվ 11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38.</w:t>
      </w:r>
      <w:r w:rsidRPr="00035820">
        <w:rPr>
          <w:rFonts w:ascii="GHEA Grapalat" w:hAnsi="GHEA Grapalat"/>
          <w:sz w:val="24"/>
          <w:szCs w:val="24"/>
        </w:rPr>
        <w:tab/>
        <w:t>Միության ռեակտիվ շարժիչների համար նախատեսված վառելիքի ինդիկատիվ (կանխատեսումային) հաշվեկշիռը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ավորվում է սույն Մեթոդաբանության թիվ 12 հավելվածի համաձայն սահմանված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ով: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39.</w:t>
      </w:r>
      <w:r w:rsidRPr="00035820">
        <w:rPr>
          <w:rFonts w:ascii="GHEA Grapalat" w:hAnsi="GHEA Grapalat"/>
          <w:sz w:val="24"/>
          <w:szCs w:val="24"/>
        </w:rPr>
        <w:tab/>
        <w:t>«Արտադրություն» հոդվածում նշվում է նավթավերամշակման գործարաններում ռեակտիվ շարժիչների համար նախատեսված վառելիքի արտադրության ծավալը: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40.</w:t>
      </w:r>
      <w:r w:rsidRPr="00035820">
        <w:rPr>
          <w:rFonts w:ascii="GHEA Grapalat" w:hAnsi="GHEA Grapalat"/>
          <w:sz w:val="24"/>
          <w:szCs w:val="24"/>
        </w:rPr>
        <w:tab/>
        <w:t xml:space="preserve">«Այլ մուտքեր» հոդվածում հաշվի են առնվում մագիստրալային նավթամթերքամուղային տրանսպորտի համակարգում, նավթավերամշակման գործարանների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ապահովման ձեռնարկությունների պահեստարաններում ռեակտիվ շարժիչների համար նախատեսված վառելիքի պաշարների փոփոխությունները: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41.</w:t>
      </w:r>
      <w:r w:rsidRPr="00035820">
        <w:rPr>
          <w:rFonts w:ascii="GHEA Grapalat" w:hAnsi="GHEA Grapalat"/>
          <w:sz w:val="24"/>
          <w:szCs w:val="24"/>
        </w:rPr>
        <w:tab/>
        <w:t xml:space="preserve">«Ներմուծում» հոդվածում ռեակտիվ շարժիչների համար նախատեսված վառելիքի՝ խողովակաշարային տրանսպորտով ներմուծման (մատակարարումների) ծավալներն արտացոլելու համար ենթահոդվածներ չեն </w:t>
      </w:r>
      <w:r w:rsidRPr="00035820">
        <w:rPr>
          <w:rFonts w:ascii="GHEA Grapalat" w:hAnsi="GHEA Grapalat"/>
          <w:sz w:val="24"/>
          <w:szCs w:val="24"/>
        </w:rPr>
        <w:lastRenderedPageBreak/>
        <w:t>առանձնացվում:</w:t>
      </w:r>
    </w:p>
    <w:p w:rsidR="00DB1B92" w:rsidRPr="00035820" w:rsidRDefault="00DB1B92" w:rsidP="00DB1B92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right="-8" w:firstLine="567"/>
        <w:contextualSpacing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42.</w:t>
      </w:r>
      <w:r w:rsidRPr="00035820">
        <w:rPr>
          <w:rFonts w:ascii="GHEA Grapalat" w:hAnsi="GHEA Grapalat"/>
          <w:sz w:val="24"/>
          <w:szCs w:val="24"/>
        </w:rPr>
        <w:tab/>
        <w:t xml:space="preserve">«Արտահանում» հոդվածում ռեակտիվ շարժիչների համար նախատեսված վառելիքի՝ խողովակաշարային տրանսպորտով արտահանման (մատակարարումների) ծավալներն արտացոլելու համար ենթահոդվածներ չեն առանձնացվում: </w:t>
      </w:r>
      <w:r w:rsidRPr="00035820">
        <w:rPr>
          <w:rFonts w:ascii="GHEA Grapalat" w:hAnsi="GHEA Grapalat"/>
          <w:sz w:val="24"/>
          <w:szCs w:val="24"/>
          <w:vertAlign w:val="superscript"/>
        </w:rPr>
        <w:footnoteReference w:id="1"/>
      </w:r>
    </w:p>
    <w:p w:rsidR="00DB1B92" w:rsidRPr="009E41EC" w:rsidRDefault="00DB1B92" w:rsidP="00DB1B92">
      <w:pPr>
        <w:rPr>
          <w:rFonts w:ascii="GHEA Grapalat" w:eastAsia="Times New Roman" w:hAnsi="GHEA Grapalat" w:cs="Times New Roman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ԹԻՎ 1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30"/>
        <w:shd w:val="clear" w:color="auto" w:fill="auto"/>
        <w:spacing w:after="160" w:line="240" w:lineRule="auto"/>
        <w:ind w:right="20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color w:val="000000"/>
          <w:sz w:val="24"/>
          <w:szCs w:val="24"/>
        </w:rPr>
        <w:t>Գազի ինդիկատիվ (կանխատեսումային) հաշվեկշիռը</w:t>
      </w:r>
    </w:p>
    <w:p w:rsidR="00DB1B92" w:rsidRPr="00035820" w:rsidRDefault="00DB1B92" w:rsidP="00DB1B92">
      <w:pPr>
        <w:pStyle w:val="Bodytext30"/>
        <w:shd w:val="clear" w:color="auto" w:fill="auto"/>
        <w:spacing w:after="0" w:line="240" w:lineRule="auto"/>
        <w:ind w:right="23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_____________________________________________________</w:t>
      </w:r>
    </w:p>
    <w:p w:rsidR="00DB1B92" w:rsidRPr="00035820" w:rsidRDefault="00DB1B92" w:rsidP="00DB1B92">
      <w:pPr>
        <w:pStyle w:val="Bodytext70"/>
        <w:shd w:val="clear" w:color="auto" w:fill="auto"/>
        <w:spacing w:before="0" w:after="160" w:line="240" w:lineRule="auto"/>
        <w:ind w:right="20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DB1B92" w:rsidRPr="00035820" w:rsidRDefault="00DB1B92" w:rsidP="00DB1B92">
      <w:pPr>
        <w:pStyle w:val="Bodytext3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20___ - 20___ թվականներին</w:t>
      </w:r>
    </w:p>
    <w:p w:rsidR="00DB1B92" w:rsidRPr="00035820" w:rsidRDefault="00DB1B92" w:rsidP="00DB1B92">
      <w:pPr>
        <w:pStyle w:val="Bodytext3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(մլրդ խոր. մ)</w:t>
      </w: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531"/>
        <w:gridCol w:w="1488"/>
        <w:gridCol w:w="1489"/>
        <w:gridCol w:w="937"/>
        <w:gridCol w:w="938"/>
        <w:gridCol w:w="938"/>
      </w:tblGrid>
      <w:tr w:rsidR="00DB1B92" w:rsidRPr="00035820" w:rsidTr="00CE7BFF">
        <w:trPr>
          <w:tblHeader/>
          <w:jc w:val="center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left="-23"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ind w:left="686" w:firstLine="567"/>
              <w:contextualSpacing/>
              <w:rPr>
                <w:rFonts w:ascii="GHEA Grapalat" w:hAnsi="GHEA Grapalat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C35CD3" w:rsidRDefault="00DB1B92" w:rsidP="00CE7BFF">
            <w:pPr>
              <w:spacing w:after="160"/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DB1B92" w:rsidRPr="00035820" w:rsidTr="00CE7BFF">
        <w:trPr>
          <w:trHeight w:val="654"/>
          <w:jc w:val="center"/>
        </w:trPr>
        <w:tc>
          <w:tcPr>
            <w:tcW w:w="3531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Գազի, այդ թվում՝ ուղեկից նավթագազի արդյունահանում*</w:t>
            </w:r>
          </w:p>
        </w:tc>
        <w:tc>
          <w:tcPr>
            <w:tcW w:w="5790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outlineLvl w:val="6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trHeight w:val="654"/>
          <w:jc w:val="center"/>
        </w:trPr>
        <w:tc>
          <w:tcPr>
            <w:tcW w:w="3531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403"/>
              <w:outlineLvl w:val="6"/>
              <w:rPr>
                <w:rFonts w:ascii="GHEA Grapalat" w:hAnsi="GHEA Grapalat"/>
              </w:rPr>
            </w:pPr>
          </w:p>
        </w:tc>
        <w:tc>
          <w:tcPr>
            <w:tcW w:w="5790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outlineLvl w:val="6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spacing w:after="160"/>
        <w:rPr>
          <w:lang w:val="ru-RU"/>
        </w:rPr>
      </w:pPr>
    </w:p>
    <w:p w:rsidR="00DB1B92" w:rsidRDefault="00DB1B92" w:rsidP="00DB1B92">
      <w:pPr>
        <w:spacing w:after="160"/>
        <w:rPr>
          <w:lang w:val="ru-RU"/>
        </w:rPr>
      </w:pPr>
    </w:p>
    <w:p w:rsidR="00DB1B92" w:rsidRPr="00C35CD3" w:rsidRDefault="00DB1B92" w:rsidP="00DB1B92">
      <w:pPr>
        <w:spacing w:after="160"/>
        <w:rPr>
          <w:lang w:val="ru-RU"/>
        </w:rPr>
      </w:pPr>
    </w:p>
    <w:tbl>
      <w:tblPr>
        <w:tblOverlap w:val="never"/>
        <w:tblW w:w="932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531"/>
        <w:gridCol w:w="1488"/>
        <w:gridCol w:w="1489"/>
        <w:gridCol w:w="937"/>
        <w:gridCol w:w="938"/>
        <w:gridCol w:w="938"/>
      </w:tblGrid>
      <w:tr w:rsidR="00DB1B92" w:rsidRPr="00035820" w:rsidTr="00CE7BFF">
        <w:trPr>
          <w:tblHeader/>
          <w:jc w:val="center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left="-23"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ind w:left="686" w:firstLine="567"/>
              <w:contextualSpacing/>
              <w:rPr>
                <w:rFonts w:ascii="GHEA Grapalat" w:hAnsi="GHEA Grapalat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անդամ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68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Ծախսային մաս՝ բաշխում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40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68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2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941F9">
              <w:rPr>
                <w:rStyle w:val="FootnoteReference"/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footnoteReference w:customMarkFollows="1" w:id="2"/>
              <w:t>*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թվում`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 տրանսպորտով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20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53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790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9E41EC" w:rsidRDefault="00DB1B92" w:rsidP="00DB1B92">
      <w:pPr>
        <w:rPr>
          <w:rFonts w:ascii="GHEA Grapalat" w:hAnsi="GHEA Grapalat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ԹԻՎ 2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5103" w:right="40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գազի ինդիկատիվ (կանխատեսումային) հաշվեկշիռը 20___ – 20___ թվականներին</w:t>
      </w: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right="-8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(մլրդ խոր. մ)</w:t>
      </w: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1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Գազի, այդ թվում՝ ուղեկից նավթագազի արդյունահանում**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Բելառուսի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pacing w:after="160" w:line="240" w:lineRule="auto"/>
              <w:ind w:left="154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4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 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56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56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56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  <w:t>**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Ղրղզստանի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1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40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p w:rsidR="00DB1B92" w:rsidRPr="00035820" w:rsidRDefault="00DB1B92" w:rsidP="00DB1B92">
      <w:r w:rsidRPr="00035820">
        <w:br w:type="page"/>
      </w: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Ղազախստանի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Հայաստանի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7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հեղուկացված բնական գազի տեսքով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21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-21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left="547" w:firstLine="547"/>
              <w:rPr>
                <w:rFonts w:ascii="GHEA Grapalat" w:hAnsi="GHEA Grapalat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vMerge w:val="restart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Ղրղզստանի Հանրապետությունում </w:t>
            </w:r>
          </w:p>
        </w:tc>
        <w:tc>
          <w:tcPr>
            <w:tcW w:w="5508" w:type="dxa"/>
            <w:gridSpan w:val="5"/>
            <w:vMerge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54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54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480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549910</wp:posOffset>
                </wp:positionV>
                <wp:extent cx="1828800" cy="0"/>
                <wp:effectExtent l="9525" t="12700" r="9525" b="63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.1pt;margin-top:43.3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"/>
            </w:pict>
          </mc:Fallback>
        </mc:AlternateContent>
      </w:r>
    </w:p>
    <w:p w:rsidR="00DB1B92" w:rsidRPr="00035820" w:rsidRDefault="00DB1B92" w:rsidP="00DB1B92">
      <w:pPr>
        <w:pStyle w:val="Footnote0"/>
        <w:shd w:val="clear" w:color="auto" w:fill="auto"/>
        <w:spacing w:line="240" w:lineRule="auto"/>
        <w:ind w:left="284" w:hanging="284"/>
        <w:jc w:val="both"/>
        <w:rPr>
          <w:rFonts w:ascii="GHEA Grapalat" w:hAnsi="GHEA Grapalat"/>
        </w:rPr>
      </w:pPr>
      <w:r w:rsidRPr="00035820">
        <w:rPr>
          <w:rStyle w:val="FootnoteReference"/>
          <w:rFonts w:ascii="GHEA Grapalat" w:hAnsi="GHEA Grapalat"/>
        </w:rPr>
        <w:lastRenderedPageBreak/>
        <w:t>*</w:t>
      </w:r>
      <w:r w:rsidRPr="00035820">
        <w:rPr>
          <w:rFonts w:ascii="GHEA Grapalat" w:hAnsi="GHEA Grapalat"/>
        </w:rPr>
        <w:t xml:space="preserve"> </w:t>
      </w:r>
      <w:r w:rsidRPr="00035820">
        <w:rPr>
          <w:rFonts w:ascii="GHEA Grapalat" w:hAnsi="GHEA Grapalat"/>
        </w:rPr>
        <w:tab/>
        <w:t>Լրացվում է Հանձնաժողովի կողմից՝ անդամ պետությունների ներկայացրած վիճակագրական տվյալների հիման վրա:</w:t>
      </w:r>
    </w:p>
    <w:p w:rsidR="00DB1B92" w:rsidRPr="009E41EC" w:rsidRDefault="00DB1B92" w:rsidP="00DB1B92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Style w:val="FootnoteReference"/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 xml:space="preserve"> </w:t>
      </w:r>
      <w:r w:rsidRPr="00035820">
        <w:rPr>
          <w:rFonts w:ascii="GHEA Grapalat" w:hAnsi="GHEA Grapalat"/>
          <w:sz w:val="20"/>
        </w:rPr>
        <w:tab/>
        <w:t xml:space="preserve">Նշվում է որպես տեղեկատվություն, </w:t>
      </w:r>
      <w:r>
        <w:rPr>
          <w:rFonts w:ascii="GHEA Grapalat" w:hAnsi="GHEA Grapalat"/>
          <w:sz w:val="20"/>
        </w:rPr>
        <w:t>և</w:t>
      </w:r>
      <w:r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պահանջվում:</w:t>
      </w:r>
    </w:p>
    <w:p w:rsidR="00DB1B92" w:rsidRPr="00035820" w:rsidRDefault="00DB1B92" w:rsidP="00DB1B92">
      <w:pPr>
        <w:pStyle w:val="Footnote0"/>
        <w:shd w:val="clear" w:color="auto" w:fill="auto"/>
        <w:spacing w:after="160" w:line="240" w:lineRule="auto"/>
        <w:ind w:left="3969" w:firstLine="0"/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t>ՀԱՎԵԼՎԱԾ ԹԻՎ 3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40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Նավթահումքի ինդիկատիվ (կանխատեսումային) հաշվեկշիռը</w:t>
      </w:r>
    </w:p>
    <w:p w:rsidR="00DB1B92" w:rsidRPr="00035820" w:rsidRDefault="00DB1B92" w:rsidP="00DB1B92">
      <w:pPr>
        <w:pStyle w:val="Bodytext60"/>
        <w:shd w:val="clear" w:color="auto" w:fill="auto"/>
        <w:spacing w:before="0" w:after="0" w:line="240" w:lineRule="auto"/>
        <w:ind w:right="23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________________________________________________________</w:t>
      </w:r>
    </w:p>
    <w:p w:rsidR="00DB1B92" w:rsidRPr="00035820" w:rsidRDefault="00DB1B92" w:rsidP="00DB1B92">
      <w:pPr>
        <w:pStyle w:val="Bodytext70"/>
        <w:shd w:val="clear" w:color="auto" w:fill="auto"/>
        <w:spacing w:before="0" w:after="160" w:line="240" w:lineRule="auto"/>
        <w:ind w:right="20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DB1B92" w:rsidRPr="00E0059B" w:rsidRDefault="00DB1B92" w:rsidP="00DB1B92">
      <w:pPr>
        <w:pStyle w:val="Bodytext60"/>
        <w:shd w:val="clear" w:color="auto" w:fill="auto"/>
        <w:spacing w:before="0" w:after="160" w:line="240" w:lineRule="auto"/>
        <w:ind w:left="3360"/>
        <w:jc w:val="both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t>20___ - 20___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(մլն տոննա)</w:t>
      </w: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8"/>
        <w:gridCol w:w="1358"/>
        <w:gridCol w:w="1343"/>
        <w:gridCol w:w="935"/>
        <w:gridCol w:w="936"/>
        <w:gridCol w:w="930"/>
        <w:gridCol w:w="6"/>
      </w:tblGrid>
      <w:tr w:rsidR="00DB1B92" w:rsidRPr="00035820" w:rsidTr="00CE7BFF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Նավթի, այդ թվում՝ գազային խտուցքի արդյունահանում*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5508" w:type="dxa"/>
            <w:gridSpan w:val="6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  <w:r w:rsidRPr="00035820">
              <w:rPr>
                <w:rStyle w:val="Bodytext212pt"/>
                <w:rFonts w:ascii="GHEA Grapalat" w:hAnsi="GHEA Grapalat"/>
                <w:lang w:val="ru-RU"/>
              </w:rPr>
              <w:t>**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ind w:left="825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9E41EC" w:rsidRDefault="00DB1B92" w:rsidP="00DB1B92">
      <w:pPr>
        <w:rPr>
          <w:lang w:val="ru-RU"/>
        </w:rPr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8"/>
        <w:gridCol w:w="1358"/>
        <w:gridCol w:w="1343"/>
        <w:gridCol w:w="935"/>
        <w:gridCol w:w="936"/>
        <w:gridCol w:w="930"/>
        <w:gridCol w:w="6"/>
      </w:tblGrid>
      <w:tr w:rsidR="00DB1B92" w:rsidRPr="00035820" w:rsidTr="00CE7BFF">
        <w:trPr>
          <w:trHeight w:val="1477"/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Հաշվետու ցուցանիշը 20__ </w:t>
            </w:r>
            <w:r>
              <w:rPr>
                <w:rStyle w:val="Bodytext212pt"/>
                <w:rFonts w:ascii="GHEA Grapalat" w:hAnsi="GHEA Grapalat"/>
                <w:lang w:val="ru-RU"/>
              </w:rPr>
              <w:t xml:space="preserve">  </w:t>
            </w:r>
            <w:r w:rsidRPr="00035820">
              <w:rPr>
                <w:rStyle w:val="Bodytext212pt"/>
                <w:rFonts w:ascii="GHEA Grapalat" w:hAnsi="GHEA Grapalat"/>
              </w:rPr>
              <w:t xml:space="preserve">թվականի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համար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Ակնկալվող ցուցանիշը 20__ թվականին 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rHeight w:val="1479"/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երրորդ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vMerge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Կորուստներ</w:t>
            </w:r>
          </w:p>
        </w:tc>
        <w:tc>
          <w:tcPr>
            <w:tcW w:w="550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</w:rPr>
      </w:pPr>
    </w:p>
    <w:p w:rsidR="00DB1B92" w:rsidRPr="00C35CD3" w:rsidRDefault="00DB1B92" w:rsidP="00DB1B92">
      <w:pPr>
        <w:pStyle w:val="Footnote20"/>
        <w:shd w:val="clear" w:color="auto" w:fill="auto"/>
        <w:spacing w:after="480" w:line="240" w:lineRule="auto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511810</wp:posOffset>
                </wp:positionV>
                <wp:extent cx="1828800" cy="0"/>
                <wp:effectExtent l="5080" t="7620" r="13970" b="114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.25pt;margin-top:40.3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BAJAIAAEo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"/>
            </w:pict>
          </mc:Fallback>
        </mc:AlternateContent>
      </w:r>
    </w:p>
    <w:p w:rsidR="00DB1B92" w:rsidRPr="00035820" w:rsidRDefault="00DB1B92" w:rsidP="00DB1B92">
      <w:pPr>
        <w:pStyle w:val="Footnote20"/>
        <w:shd w:val="clear" w:color="auto" w:fill="auto"/>
        <w:spacing w:after="120" w:line="240" w:lineRule="auto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  <w:t xml:space="preserve">Նշվում է որպես տեղեկատվություն, </w:t>
      </w:r>
      <w:r>
        <w:rPr>
          <w:rFonts w:ascii="GHEA Grapalat" w:hAnsi="GHEA Grapalat"/>
          <w:szCs w:val="24"/>
        </w:rPr>
        <w:t>և</w:t>
      </w:r>
      <w:r w:rsidRPr="00035820">
        <w:rPr>
          <w:rFonts w:ascii="GHEA Grapalat" w:hAnsi="GHEA Grapalat"/>
          <w:szCs w:val="24"/>
        </w:rPr>
        <w:t xml:space="preserve"> անդամ պետությունների լիազոր մարմինների կողմից համաձայնեցում չի պահանջվում:</w:t>
      </w:r>
    </w:p>
    <w:p w:rsidR="00DB1B92" w:rsidRPr="00C35CD3" w:rsidRDefault="00DB1B92" w:rsidP="00DB1B92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</w:rPr>
      </w:pPr>
      <w:r w:rsidRPr="00035820">
        <w:rPr>
          <w:rFonts w:ascii="GHEA Grapalat" w:hAnsi="GHEA Grapalat"/>
          <w:szCs w:val="24"/>
        </w:rPr>
        <w:t>**</w:t>
      </w:r>
      <w:r w:rsidRPr="00035820">
        <w:rPr>
          <w:rFonts w:ascii="GHEA Grapalat" w:hAnsi="GHEA Grapalat"/>
          <w:szCs w:val="24"/>
        </w:rPr>
        <w:tab/>
        <w:t>Չի նշվում սույն հաշվեկշիռը ներկայացնող անդամ պետությունը:</w:t>
      </w:r>
    </w:p>
    <w:p w:rsidR="00DB1B92" w:rsidRPr="00035820" w:rsidRDefault="00DB1B92" w:rsidP="00DB1B92">
      <w:pPr>
        <w:spacing w:after="160"/>
        <w:ind w:left="3969"/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t>ՀԱՎԵԼՎԱԾ ԹԻՎ 4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E0059B" w:rsidRDefault="00DB1B92" w:rsidP="00DB1B92">
      <w:pPr>
        <w:pStyle w:val="Bodytext60"/>
        <w:shd w:val="clear" w:color="auto" w:fill="auto"/>
        <w:spacing w:before="0" w:after="160" w:line="24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նավթահումքի ինդիկատիվ (կանխատեսումային) հաշվեկշիռը 20__ – 20__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(մլն տոննա)</w:t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Նավթի, այդ թվում՝ գազային խտուցքի արդյունահանում**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Ակնկալվող ցուցանիշը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 խողովակաշարային 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p w:rsidR="00DB1B92" w:rsidRPr="00035820" w:rsidRDefault="00DB1B92" w:rsidP="00DB1B92">
      <w:r w:rsidRPr="00035820">
        <w:br w:type="page"/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թվում` 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38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934"/>
        <w:gridCol w:w="935"/>
        <w:gridCol w:w="935"/>
      </w:tblGrid>
      <w:tr w:rsidR="00DB1B92" w:rsidRPr="00035820" w:rsidTr="00CE7BFF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այդ թվում՝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խողովակաշարային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տրանսպորտով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Ռուսաստանի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Դաշնությունում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382905</wp:posOffset>
                      </wp:positionV>
                      <wp:extent cx="1828800" cy="0"/>
                      <wp:effectExtent l="6985" t="5080" r="12065" b="1397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-.2pt;margin-top:30.15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"/>
                  </w:pict>
                </mc:Fallback>
              </mc:AlternateContent>
            </w:r>
            <w:r w:rsidRPr="00035820">
              <w:rPr>
                <w:rStyle w:val="Bodytext212pt"/>
                <w:rFonts w:ascii="GHEA Grapalat" w:hAnsi="GHEA Grapalat"/>
              </w:rPr>
              <w:t>Կորուստներ</w:t>
            </w:r>
          </w:p>
        </w:tc>
        <w:tc>
          <w:tcPr>
            <w:tcW w:w="5505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pStyle w:val="Footnote20"/>
        <w:shd w:val="clear" w:color="auto" w:fill="auto"/>
        <w:spacing w:after="0" w:line="240" w:lineRule="auto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 w:val="24"/>
          <w:szCs w:val="24"/>
        </w:rPr>
        <w:t>*</w:t>
      </w:r>
      <w:r w:rsidRPr="00035820">
        <w:rPr>
          <w:rFonts w:ascii="GHEA Grapalat" w:hAnsi="GHEA Grapalat"/>
          <w:szCs w:val="24"/>
        </w:rPr>
        <w:tab/>
        <w:t>Լրացվում է Հանձնաժողովի կողմից՝ անդամ պետությունների ներկայացրած վիճակագրական տվյալների հիման վրա:</w:t>
      </w:r>
    </w:p>
    <w:p w:rsidR="00DB1B92" w:rsidRPr="00C35CD3" w:rsidRDefault="00DB1B92" w:rsidP="00DB1B92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  <w:t xml:space="preserve">Նշվում </w:t>
      </w:r>
      <w:r w:rsidRPr="00035820">
        <w:rPr>
          <w:rFonts w:ascii="GHEA Grapalat" w:hAnsi="GHEA Grapalat"/>
          <w:sz w:val="20"/>
          <w:szCs w:val="20"/>
        </w:rPr>
        <w:t xml:space="preserve">է որպես տեղեկատվություն, </w:t>
      </w:r>
      <w:r>
        <w:rPr>
          <w:rFonts w:ascii="GHEA Grapalat" w:hAnsi="GHEA Grapalat"/>
          <w:sz w:val="20"/>
          <w:szCs w:val="20"/>
        </w:rPr>
        <w:t>և</w:t>
      </w:r>
      <w:r w:rsidRPr="00035820">
        <w:rPr>
          <w:rFonts w:ascii="GHEA Grapalat" w:hAnsi="GHEA Grapalat"/>
          <w:sz w:val="20"/>
          <w:szCs w:val="20"/>
        </w:rPr>
        <w:t xml:space="preserve"> անդամ պետությունների լիազոր մարմինների կողմից համաձայնեցում չի պահանջվում:</w:t>
      </w:r>
    </w:p>
    <w:p w:rsidR="00DB1B92" w:rsidRDefault="00DB1B92" w:rsidP="00DB1B92">
      <w:pPr>
        <w:pStyle w:val="Bodytext50"/>
        <w:shd w:val="clear" w:color="auto" w:fill="auto"/>
        <w:spacing w:after="160" w:line="240" w:lineRule="auto"/>
        <w:ind w:left="3969" w:right="-8" w:firstLine="0"/>
        <w:rPr>
          <w:rFonts w:ascii="GHEA Grapalat" w:hAnsi="GHEA Grapalat"/>
          <w:lang w:val="ru-RU"/>
        </w:rPr>
      </w:pP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left="3969" w:right="-8" w:firstLine="0"/>
        <w:rPr>
          <w:rFonts w:ascii="GHEA Grapalat" w:hAnsi="GHEA Grapalat"/>
        </w:rPr>
      </w:pPr>
      <w:r w:rsidRPr="00035820">
        <w:rPr>
          <w:rFonts w:ascii="GHEA Grapalat" w:hAnsi="GHEA Grapalat"/>
        </w:rPr>
        <w:t xml:space="preserve">ՀԱՎԵԼՎԱԾ ԹԻՎ 5 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left="3969" w:right="-8" w:firstLine="0"/>
        <w:rPr>
          <w:rFonts w:ascii="GHEA Grapalat" w:hAnsi="GHEA Grapalat"/>
        </w:rPr>
      </w:pPr>
      <w:r w:rsidRPr="00035820">
        <w:rPr>
          <w:rFonts w:ascii="GHEA Grapalat" w:hAnsi="GHEA Grapalat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</w:rPr>
        <w:t>և</w:t>
      </w:r>
      <w:r w:rsidRPr="00035820">
        <w:rPr>
          <w:rFonts w:ascii="GHEA Grapalat" w:hAnsi="GHEA Grapalat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</w:rPr>
        <w:t>և</w:t>
      </w:r>
      <w:r w:rsidRPr="00035820">
        <w:rPr>
          <w:rFonts w:ascii="GHEA Grapalat" w:hAnsi="GHEA Grapalat"/>
        </w:rPr>
        <w:t>ավորման մեթոդաբանության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left="3969" w:right="-8" w:firstLine="0"/>
        <w:rPr>
          <w:rFonts w:ascii="GHEA Grapalat" w:hAnsi="GHEA Grapalat"/>
        </w:rPr>
      </w:pP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right="-8" w:firstLine="0"/>
        <w:rPr>
          <w:rFonts w:ascii="GHEA Grapalat" w:hAnsi="GHEA Grapalat"/>
        </w:rPr>
      </w:pPr>
      <w:r w:rsidRPr="00035820">
        <w:rPr>
          <w:rFonts w:ascii="GHEA Grapalat" w:hAnsi="GHEA Grapalat"/>
          <w:b/>
        </w:rPr>
        <w:t>Ավտոմոբիլային բենզինի ինդիկատիվ (կանխատեսումային) հաշվեկշիռը</w:t>
      </w:r>
    </w:p>
    <w:p w:rsidR="00DB1B92" w:rsidRPr="00035820" w:rsidRDefault="00DB1B92" w:rsidP="00DB1B92">
      <w:pPr>
        <w:jc w:val="center"/>
        <w:rPr>
          <w:rFonts w:ascii="GHEA Grapalat" w:hAnsi="GHEA Grapalat"/>
        </w:rPr>
      </w:pPr>
      <w:r w:rsidRPr="00035820">
        <w:rPr>
          <w:rFonts w:ascii="GHEA Grapalat" w:hAnsi="GHEA Grapalat"/>
        </w:rPr>
        <w:t>_____________________________________________________________________</w:t>
      </w:r>
    </w:p>
    <w:p w:rsidR="00DB1B92" w:rsidRPr="00035820" w:rsidRDefault="00DB1B92" w:rsidP="00DB1B92">
      <w:pPr>
        <w:spacing w:after="160"/>
        <w:jc w:val="center"/>
        <w:rPr>
          <w:rFonts w:ascii="GHEA Grapalat" w:hAnsi="GHEA Grapalat"/>
          <w:sz w:val="20"/>
        </w:rPr>
      </w:pPr>
      <w:r w:rsidRPr="00035820">
        <w:rPr>
          <w:rFonts w:ascii="GHEA Grapalat" w:hAnsi="GHEA Grapalat"/>
          <w:sz w:val="20"/>
        </w:rPr>
        <w:t>(Եվրասիական տնտեսական միության անդամ պետության անվանումը)</w:t>
      </w:r>
    </w:p>
    <w:p w:rsidR="00DB1B92" w:rsidRPr="00E0059B" w:rsidRDefault="00DB1B92" w:rsidP="00DB1B92">
      <w:pPr>
        <w:spacing w:after="160"/>
        <w:jc w:val="center"/>
        <w:rPr>
          <w:rFonts w:ascii="GHEA Grapalat" w:hAnsi="GHEA Grapalat"/>
          <w:lang w:val="ru-RU"/>
        </w:rPr>
      </w:pPr>
      <w:r w:rsidRPr="00035820">
        <w:rPr>
          <w:rFonts w:ascii="GHEA Grapalat" w:hAnsi="GHEA Grapalat"/>
          <w:b/>
        </w:rPr>
        <w:t>20__</w:t>
      </w:r>
      <w:r w:rsidRPr="00035820">
        <w:rPr>
          <w:rFonts w:ascii="GHEA Grapalat" w:hAnsi="GHEA Grapalat"/>
          <w:b/>
          <w:lang w:val="en-US"/>
        </w:rPr>
        <w:t>_</w:t>
      </w:r>
      <w:r w:rsidRPr="00035820">
        <w:rPr>
          <w:rFonts w:ascii="GHEA Grapalat" w:hAnsi="GHEA Grapalat"/>
          <w:b/>
        </w:rPr>
        <w:t xml:space="preserve"> – 20</w:t>
      </w:r>
      <w:r w:rsidRPr="00035820">
        <w:rPr>
          <w:rFonts w:ascii="GHEA Grapalat" w:hAnsi="GHEA Grapalat"/>
          <w:b/>
          <w:lang w:val="en-US"/>
        </w:rPr>
        <w:t>_</w:t>
      </w:r>
      <w:r w:rsidRPr="00035820">
        <w:rPr>
          <w:rFonts w:ascii="GHEA Grapalat" w:hAnsi="GHEA Grapalat"/>
          <w:b/>
        </w:rPr>
        <w:t>__ թվականներին</w:t>
      </w:r>
    </w:p>
    <w:p w:rsidR="00DB1B92" w:rsidRPr="00035820" w:rsidRDefault="00DB1B92" w:rsidP="00DB1B92">
      <w:pPr>
        <w:spacing w:after="16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(հազ տոննա)</w:t>
      </w: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7"/>
        <w:gridCol w:w="1350"/>
        <w:gridCol w:w="1351"/>
        <w:gridCol w:w="935"/>
        <w:gridCol w:w="935"/>
        <w:gridCol w:w="935"/>
      </w:tblGrid>
      <w:tr w:rsidR="00DB1B92" w:rsidRPr="00035820" w:rsidTr="00CE7BFF">
        <w:trPr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7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</w:t>
            </w:r>
            <w:bookmarkStart w:id="0" w:name="_Ref439240418"/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  <w:bookmarkEnd w:id="0"/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7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7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1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7"/>
        <w:gridCol w:w="1350"/>
        <w:gridCol w:w="1351"/>
        <w:gridCol w:w="935"/>
        <w:gridCol w:w="935"/>
        <w:gridCol w:w="935"/>
      </w:tblGrid>
      <w:tr w:rsidR="00DB1B92" w:rsidRPr="00035820" w:rsidTr="00CE7BFF">
        <w:trPr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0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7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1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7"/>
        <w:gridCol w:w="1350"/>
        <w:gridCol w:w="1351"/>
        <w:gridCol w:w="935"/>
        <w:gridCol w:w="935"/>
        <w:gridCol w:w="935"/>
      </w:tblGrid>
      <w:tr w:rsidR="00DB1B92" w:rsidRPr="00035820" w:rsidTr="00CE7BFF">
        <w:trPr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right="-8"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4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Ռուսաստանի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Դաշնություն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1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երրորդ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7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7" w:right="-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6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ind w:right="-8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720"/>
        <w:rPr>
          <w:rFonts w:ascii="GHEA Grapalat" w:hAnsi="GHEA Grapalat"/>
          <w:lang w:val="en-US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</w:p>
    <w:p w:rsidR="00DB1B92" w:rsidRDefault="00DB1B92" w:rsidP="00DB1B92">
      <w:pPr>
        <w:spacing w:after="160"/>
        <w:rPr>
          <w:rFonts w:ascii="GHEA Grapalat" w:hAnsi="GHEA Grapalat"/>
          <w:lang w:val="ru-RU"/>
        </w:rPr>
      </w:pPr>
    </w:p>
    <w:p w:rsidR="00DB1B92" w:rsidRDefault="00DB1B92" w:rsidP="00DB1B92">
      <w:pPr>
        <w:spacing w:after="160"/>
        <w:rPr>
          <w:rFonts w:ascii="GHEA Grapalat" w:hAnsi="GHEA Grapalat"/>
          <w:lang w:val="ru-RU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332105</wp:posOffset>
                </wp:positionV>
                <wp:extent cx="1828800" cy="0"/>
                <wp:effectExtent l="10160" t="12065" r="8890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.15pt;margin-top:26.15pt;width:2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"/>
            </w:pict>
          </mc:Fallback>
        </mc:AlternateContent>
      </w:r>
    </w:p>
    <w:p w:rsidR="00DB1B92" w:rsidRPr="00035820" w:rsidRDefault="00DB1B92" w:rsidP="00DB1B92">
      <w:pPr>
        <w:pStyle w:val="FootnoteText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  <w:t xml:space="preserve">Նշվում է որպես տեղեկատվություն, </w:t>
      </w:r>
      <w:r>
        <w:rPr>
          <w:rFonts w:ascii="GHEA Grapalat" w:hAnsi="GHEA Grapalat"/>
          <w:szCs w:val="24"/>
        </w:rPr>
        <w:t>և</w:t>
      </w:r>
      <w:r w:rsidRPr="00035820">
        <w:rPr>
          <w:rFonts w:ascii="GHEA Grapalat" w:hAnsi="GHEA Grapalat"/>
          <w:szCs w:val="24"/>
        </w:rPr>
        <w:t xml:space="preserve"> անդամ պետությունների լիազորված մարմինների կողմից համաձայնեցում չի պահանջվում:</w:t>
      </w:r>
    </w:p>
    <w:p w:rsidR="00DB1B92" w:rsidRPr="00C35CD3" w:rsidRDefault="00DB1B92" w:rsidP="00DB1B92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  <w:t>Չի նշվում սույն հաշվեկշիռը ներկայացնող անդամ պետությունը:</w:t>
      </w: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6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567" w:right="559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C35CD3" w:rsidRDefault="00DB1B92" w:rsidP="00DB1B92">
      <w:pPr>
        <w:pStyle w:val="Bodytext60"/>
        <w:shd w:val="clear" w:color="auto" w:fill="auto"/>
        <w:spacing w:before="0" w:after="160" w:line="24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ավտոմոբիլային բենզինի ինդիկատիվ (կանխատեսումային) հաշվեկշիռը 20__ – 20__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(հազ. տոննա)</w:t>
      </w: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Ակնկալվող ցուցանիշը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Մուտքային մաս՝ ռեսուրսներ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Ղազախստանի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C35CD3" w:rsidRDefault="00DB1B92" w:rsidP="00DB1B92">
      <w:pPr>
        <w:spacing w:after="160"/>
        <w:rPr>
          <w:lang w:val="ru-RU"/>
        </w:rPr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5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spacing w:after="160"/>
        <w:rPr>
          <w:lang w:val="ru-RU"/>
        </w:rPr>
      </w:pPr>
    </w:p>
    <w:p w:rsidR="00DB1B92" w:rsidRDefault="00DB1B92" w:rsidP="00DB1B92">
      <w:pPr>
        <w:spacing w:after="160"/>
        <w:rPr>
          <w:lang w:val="ru-RU"/>
        </w:rPr>
      </w:pPr>
    </w:p>
    <w:p w:rsidR="00DB1B92" w:rsidRPr="00C35CD3" w:rsidRDefault="00DB1B92" w:rsidP="00DB1B92">
      <w:pPr>
        <w:spacing w:after="160"/>
        <w:rPr>
          <w:lang w:val="ru-RU"/>
        </w:rPr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09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Sylfaen" w:hAnsi="Sylfaen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2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8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8" w:firstLine="0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385445</wp:posOffset>
                </wp:positionV>
                <wp:extent cx="1828800" cy="0"/>
                <wp:effectExtent l="10160" t="10795" r="8890" b="82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.1pt;margin-top:30.35pt;width:2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YW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bDaa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"/>
            </w:pict>
          </mc:Fallback>
        </mc:AlternateContent>
      </w:r>
    </w:p>
    <w:p w:rsidR="00DB1B92" w:rsidRPr="00035820" w:rsidRDefault="00DB1B92" w:rsidP="00DB1B92">
      <w:pPr>
        <w:ind w:left="284" w:hanging="284"/>
        <w:jc w:val="both"/>
        <w:rPr>
          <w:rFonts w:ascii="GHEA Grapalat" w:hAnsi="GHEA Grapalat"/>
          <w:sz w:val="20"/>
        </w:rPr>
      </w:pPr>
      <w:r w:rsidRPr="00035820">
        <w:rPr>
          <w:rFonts w:ascii="GHEA Grapalat" w:hAnsi="GHEA Grapalat"/>
          <w:sz w:val="20"/>
        </w:rPr>
        <w:t>*</w:t>
      </w:r>
      <w:r w:rsidRPr="00035820">
        <w:rPr>
          <w:rFonts w:ascii="GHEA Grapalat" w:hAnsi="GHEA Grapalat"/>
          <w:sz w:val="20"/>
        </w:rPr>
        <w:tab/>
        <w:t>Լրացվում է Հանձնաժողովի կողմից՝ անդամ պետությունների ներկայացրած վիճակագրական տվյալների հիման վրա:</w:t>
      </w:r>
    </w:p>
    <w:p w:rsidR="00DB1B92" w:rsidRPr="00C35CD3" w:rsidRDefault="00DB1B92" w:rsidP="00DB1B92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  <w:t xml:space="preserve">Նշվում է որպես տեղեկատվություն, </w:t>
      </w:r>
      <w:r>
        <w:rPr>
          <w:rFonts w:ascii="GHEA Grapalat" w:hAnsi="GHEA Grapalat"/>
          <w:sz w:val="20"/>
        </w:rPr>
        <w:t>և</w:t>
      </w:r>
      <w:r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պահանջվում: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7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Դիզելային վառելիքի ինդիկատիվ (կանխատեսումային) հաշվեկշիռը</w:t>
      </w:r>
    </w:p>
    <w:p w:rsidR="00DB1B92" w:rsidRPr="00035820" w:rsidRDefault="00DB1B92" w:rsidP="00DB1B92">
      <w:pPr>
        <w:pStyle w:val="Bodytext60"/>
        <w:shd w:val="clear" w:color="auto" w:fill="auto"/>
        <w:spacing w:before="0" w:after="0" w:line="240" w:lineRule="auto"/>
        <w:ind w:left="567" w:right="561"/>
        <w:jc w:val="center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>_______</w:t>
      </w:r>
      <w:r w:rsidRPr="00035820">
        <w:rPr>
          <w:rFonts w:ascii="GHEA Grapalat" w:hAnsi="GHEA Grapalat"/>
          <w:b w:val="0"/>
          <w:sz w:val="24"/>
          <w:szCs w:val="24"/>
        </w:rPr>
        <w:t>_____________________________________________________</w:t>
      </w: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left="567" w:right="559"/>
        <w:jc w:val="center"/>
        <w:rPr>
          <w:rFonts w:ascii="GHEA Grapalat" w:hAnsi="GHEA Grapalat"/>
          <w:sz w:val="20"/>
          <w:szCs w:val="24"/>
        </w:rPr>
      </w:pPr>
      <w:r w:rsidRPr="00035820">
        <w:rPr>
          <w:rFonts w:ascii="GHEA Grapalat" w:hAnsi="GHEA Grapalat"/>
          <w:b w:val="0"/>
          <w:sz w:val="20"/>
          <w:szCs w:val="24"/>
        </w:rPr>
        <w:t>(Եվրասիական տնտեսական միության անդամ պետության անվանումը)</w:t>
      </w:r>
      <w:r w:rsidRPr="00035820">
        <w:rPr>
          <w:rFonts w:ascii="GHEA Grapalat" w:hAnsi="GHEA Grapalat"/>
          <w:sz w:val="20"/>
          <w:szCs w:val="24"/>
        </w:rPr>
        <w:t xml:space="preserve"> </w:t>
      </w:r>
    </w:p>
    <w:p w:rsidR="00DB1B92" w:rsidRPr="00E0059B" w:rsidRDefault="00DB1B92" w:rsidP="00DB1B92">
      <w:pPr>
        <w:pStyle w:val="Bodytext60"/>
        <w:shd w:val="clear" w:color="auto" w:fill="auto"/>
        <w:spacing w:before="0" w:after="160" w:line="240" w:lineRule="auto"/>
        <w:ind w:left="567" w:right="559"/>
        <w:jc w:val="center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lastRenderedPageBreak/>
        <w:t>20__ – 20__ թվականներին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right="40" w:firstLine="0"/>
        <w:jc w:val="right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1"/>
        <w:gridCol w:w="1349"/>
        <w:gridCol w:w="1350"/>
        <w:gridCol w:w="934"/>
        <w:gridCol w:w="935"/>
        <w:gridCol w:w="941"/>
      </w:tblGrid>
      <w:tr w:rsidR="00DB1B92" w:rsidRPr="00035820" w:rsidTr="00CE7BFF">
        <w:trPr>
          <w:tblHeader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9" w:type="dxa"/>
            <w:gridSpan w:val="5"/>
            <w:tcBorders>
              <w:top w:val="single" w:sz="4" w:space="0" w:color="auto"/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պետություններից**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1"/>
        <w:gridCol w:w="1349"/>
        <w:gridCol w:w="1350"/>
        <w:gridCol w:w="934"/>
        <w:gridCol w:w="935"/>
        <w:gridCol w:w="941"/>
      </w:tblGrid>
      <w:tr w:rsidR="00DB1B92" w:rsidRPr="00035820" w:rsidTr="00CE7BFF">
        <w:trPr>
          <w:tblHeader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Արտահանում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1"/>
        <w:gridCol w:w="1349"/>
        <w:gridCol w:w="1350"/>
        <w:gridCol w:w="934"/>
        <w:gridCol w:w="935"/>
        <w:gridCol w:w="941"/>
      </w:tblGrid>
      <w:tr w:rsidR="00DB1B92" w:rsidRPr="00035820" w:rsidTr="00CE7BFF">
        <w:trPr>
          <w:tblHeader/>
          <w:jc w:val="center"/>
        </w:trPr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9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>*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1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9" w:type="dxa"/>
            <w:gridSpan w:val="5"/>
            <w:tcBorders>
              <w:left w:val="nil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720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720090</wp:posOffset>
                </wp:positionV>
                <wp:extent cx="1828800" cy="0"/>
                <wp:effectExtent l="13970" t="10795" r="5080" b="82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.8pt;margin-top:56.7pt;width:2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0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Daa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"/>
            </w:pict>
          </mc:Fallback>
        </mc:AlternateContent>
      </w:r>
    </w:p>
    <w:p w:rsidR="00DB1B92" w:rsidRPr="00035820" w:rsidRDefault="00DB1B92" w:rsidP="00DB1B92">
      <w:pPr>
        <w:pStyle w:val="FootnoteText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lastRenderedPageBreak/>
        <w:t>*</w:t>
      </w:r>
      <w:r w:rsidRPr="00035820">
        <w:rPr>
          <w:rFonts w:ascii="GHEA Grapalat" w:hAnsi="GHEA Grapalat"/>
          <w:szCs w:val="24"/>
        </w:rPr>
        <w:tab/>
        <w:t xml:space="preserve">Նշվում է որպես տեղեկատվություն, </w:t>
      </w:r>
      <w:r>
        <w:rPr>
          <w:rFonts w:ascii="GHEA Grapalat" w:hAnsi="GHEA Grapalat"/>
          <w:szCs w:val="24"/>
        </w:rPr>
        <w:t>և</w:t>
      </w:r>
      <w:r w:rsidRPr="00035820">
        <w:rPr>
          <w:rFonts w:ascii="GHEA Grapalat" w:hAnsi="GHEA Grapalat"/>
          <w:szCs w:val="24"/>
        </w:rPr>
        <w:t xml:space="preserve"> անդամ պետությունների լիազոր մարմինների կողմից համաձայնեցում չի պահանջվում:</w:t>
      </w:r>
    </w:p>
    <w:p w:rsidR="00DB1B92" w:rsidRPr="00C35CD3" w:rsidRDefault="00DB1B92" w:rsidP="00DB1B92">
      <w:pPr>
        <w:ind w:left="284" w:hanging="284"/>
        <w:jc w:val="both"/>
        <w:rPr>
          <w:rFonts w:ascii="GHEA Grapalat" w:eastAsia="Times New Roman" w:hAnsi="GHEA Grapalat" w:cs="Times New Roman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  <w:t>Չի նշվում սույն հաշվեկշիռը ներկայացնող անդամ պետությունը: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8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C35CD3" w:rsidRDefault="00DB1B92" w:rsidP="00DB1B92">
      <w:pPr>
        <w:pStyle w:val="Bodytext60"/>
        <w:shd w:val="clear" w:color="auto" w:fill="auto"/>
        <w:spacing w:before="0" w:after="160" w:line="24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Եվրասիական տնտեսական միության դիզելային վառելիքի ինդիկատիվ (կանխատեսումային) հաշվեկշիռը 20__ – 20__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(հազ. տոննա)</w:t>
      </w:r>
    </w:p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Արտադրությունը**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13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պետություններ**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8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35820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8"/>
              <w:jc w:val="left"/>
              <w:rPr>
                <w:rStyle w:val="Bodytext212pt"/>
                <w:rFonts w:ascii="GHEA Grapalat" w:hAnsi="GHEA Grapalat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Դաշնությունում</w:t>
            </w:r>
          </w:p>
        </w:tc>
        <w:tc>
          <w:tcPr>
            <w:tcW w:w="5513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480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FootnoteText"/>
        <w:spacing w:after="1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367030</wp:posOffset>
                </wp:positionV>
                <wp:extent cx="1828800" cy="0"/>
                <wp:effectExtent l="5715" t="8255" r="13335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2.2pt;margin-top:28.9pt;width:2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"/>
            </w:pict>
          </mc:Fallback>
        </mc:AlternateContent>
      </w:r>
    </w:p>
    <w:p w:rsidR="00DB1B92" w:rsidRPr="00035820" w:rsidRDefault="00DB1B92" w:rsidP="00DB1B92">
      <w:pPr>
        <w:pStyle w:val="FootnoteText"/>
        <w:ind w:left="284" w:hanging="284"/>
        <w:jc w:val="both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</w:t>
      </w:r>
      <w:r w:rsidRPr="00035820">
        <w:rPr>
          <w:rFonts w:ascii="GHEA Grapalat" w:hAnsi="GHEA Grapalat"/>
          <w:szCs w:val="24"/>
        </w:rPr>
        <w:tab/>
        <w:t>Լրացվում է Հանձնաժողովի կողմից՝ անդամ պետությունների ներկայացրած վիճակագրական տվյալների հիման վրա</w:t>
      </w:r>
    </w:p>
    <w:p w:rsidR="00DB1B92" w:rsidRPr="00C35CD3" w:rsidRDefault="00DB1B92" w:rsidP="00DB1B92">
      <w:pPr>
        <w:ind w:left="284" w:hanging="284"/>
        <w:jc w:val="both"/>
        <w:rPr>
          <w:rFonts w:ascii="GHEA Grapalat" w:hAnsi="GHEA Grapalat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  <w:t xml:space="preserve">Նշվում է որպես տեղեկատվություն, </w:t>
      </w:r>
      <w:r>
        <w:rPr>
          <w:rFonts w:ascii="GHEA Grapalat" w:hAnsi="GHEA Grapalat"/>
          <w:sz w:val="20"/>
        </w:rPr>
        <w:t>և</w:t>
      </w:r>
      <w:r w:rsidRPr="00035820">
        <w:rPr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պահանջվում: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9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right="16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Ջեռուցման մազութի ինդիկատիվ (կանխատեսումային) հաշվեկշիռը</w:t>
      </w:r>
    </w:p>
    <w:p w:rsidR="00DB1B92" w:rsidRPr="00035820" w:rsidRDefault="00DB1B92" w:rsidP="00DB1B92">
      <w:pPr>
        <w:pStyle w:val="Bodytext60"/>
        <w:shd w:val="clear" w:color="auto" w:fill="auto"/>
        <w:spacing w:before="0" w:after="0" w:line="240" w:lineRule="auto"/>
        <w:ind w:right="159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______________________________________________________________</w:t>
      </w:r>
    </w:p>
    <w:p w:rsidR="00DB1B92" w:rsidRPr="00035820" w:rsidRDefault="00DB1B92" w:rsidP="00DB1B92">
      <w:pPr>
        <w:pStyle w:val="Bodytext70"/>
        <w:shd w:val="clear" w:color="auto" w:fill="auto"/>
        <w:spacing w:before="0" w:after="160" w:line="240" w:lineRule="auto"/>
        <w:ind w:right="160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DB1B92" w:rsidRPr="00C35CD3" w:rsidRDefault="00DB1B92" w:rsidP="00DB1B92">
      <w:pPr>
        <w:pStyle w:val="Bodytext60"/>
        <w:shd w:val="clear" w:color="auto" w:fill="auto"/>
        <w:spacing w:before="0" w:after="160" w:line="240" w:lineRule="auto"/>
        <w:ind w:left="3480"/>
        <w:jc w:val="both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t>20__ - 20__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(հազ. տոննա)</w:t>
      </w:r>
    </w:p>
    <w:tbl>
      <w:tblPr>
        <w:tblOverlap w:val="never"/>
        <w:tblW w:w="93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tblHeader/>
          <w:jc w:val="center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9" w:firstLine="0"/>
              <w:jc w:val="left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tblHeader/>
          <w:jc w:val="center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3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1350"/>
        <w:gridCol w:w="1351"/>
        <w:gridCol w:w="935"/>
        <w:gridCol w:w="936"/>
        <w:gridCol w:w="936"/>
      </w:tblGrid>
      <w:tr w:rsidR="00DB1B92" w:rsidRPr="00035820" w:rsidTr="00CE7BFF">
        <w:trPr>
          <w:tblHeader/>
          <w:jc w:val="center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6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68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>*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09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5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08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720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720090</wp:posOffset>
                </wp:positionV>
                <wp:extent cx="1828800" cy="0"/>
                <wp:effectExtent l="10160" t="9525" r="889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1.1pt;margin-top:56.7pt;width:2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"/>
            </w:pict>
          </mc:Fallback>
        </mc:AlternateContent>
      </w:r>
    </w:p>
    <w:p w:rsidR="00DB1B92" w:rsidRPr="00035820" w:rsidRDefault="00DB1B92" w:rsidP="00DB1B92">
      <w:pPr>
        <w:ind w:left="284" w:hanging="284"/>
        <w:jc w:val="both"/>
        <w:rPr>
          <w:rFonts w:ascii="GHEA Grapalat" w:hAnsi="GHEA Grapalat"/>
          <w:sz w:val="20"/>
        </w:rPr>
      </w:pPr>
      <w:r w:rsidRPr="00035820">
        <w:rPr>
          <w:rFonts w:ascii="GHEA Grapalat" w:hAnsi="GHEA Grapalat"/>
          <w:sz w:val="20"/>
        </w:rPr>
        <w:t>*</w:t>
      </w:r>
      <w:r w:rsidRPr="00035820">
        <w:rPr>
          <w:rFonts w:ascii="GHEA Grapalat" w:hAnsi="GHEA Grapalat"/>
          <w:sz w:val="20"/>
        </w:rPr>
        <w:tab/>
        <w:t xml:space="preserve">Նշվում է որպես տեղեկատվություն, </w:t>
      </w:r>
      <w:r>
        <w:rPr>
          <w:rFonts w:ascii="GHEA Grapalat" w:hAnsi="GHEA Grapalat"/>
          <w:sz w:val="20"/>
        </w:rPr>
        <w:t>և</w:t>
      </w:r>
      <w:r w:rsidRPr="00035820">
        <w:rPr>
          <w:rFonts w:ascii="GHEA Grapalat" w:hAnsi="GHEA Grapalat"/>
          <w:sz w:val="20"/>
        </w:rPr>
        <w:t xml:space="preserve"> անդամ պետությունների լիազոր մարմինների կողմից </w:t>
      </w:r>
      <w:r w:rsidRPr="00035820">
        <w:rPr>
          <w:rFonts w:ascii="GHEA Grapalat" w:hAnsi="GHEA Grapalat"/>
          <w:sz w:val="20"/>
        </w:rPr>
        <w:lastRenderedPageBreak/>
        <w:t>համաձայնեցում չի պահանջվում:</w:t>
      </w:r>
    </w:p>
    <w:p w:rsidR="00DB1B92" w:rsidRPr="00C35CD3" w:rsidRDefault="00DB1B92" w:rsidP="00DB1B92">
      <w:pPr>
        <w:ind w:left="284" w:hanging="284"/>
        <w:jc w:val="both"/>
        <w:rPr>
          <w:rFonts w:ascii="GHEA Grapalat" w:hAnsi="GHEA Grapalat"/>
        </w:rPr>
      </w:pPr>
      <w:r w:rsidRPr="00035820">
        <w:rPr>
          <w:rFonts w:ascii="GHEA Grapalat" w:hAnsi="GHEA Grapalat"/>
          <w:sz w:val="20"/>
        </w:rPr>
        <w:t>**</w:t>
      </w:r>
      <w:r w:rsidRPr="00035820">
        <w:rPr>
          <w:rFonts w:ascii="GHEA Grapalat" w:hAnsi="GHEA Grapalat"/>
          <w:sz w:val="20"/>
        </w:rPr>
        <w:tab/>
        <w:t>Չի նշվում սույն հաշվեկշիռը ներկայացնող անդամ պետությունը: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ԹԻՎ 10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C35CD3" w:rsidRDefault="00DB1B92" w:rsidP="00DB1B92">
      <w:pPr>
        <w:pStyle w:val="Bodytext20"/>
        <w:shd w:val="clear" w:color="auto" w:fill="auto"/>
        <w:spacing w:before="0" w:after="160" w:line="240" w:lineRule="auto"/>
        <w:ind w:right="-8" w:firstLine="0"/>
        <w:jc w:val="center"/>
        <w:rPr>
          <w:rFonts w:ascii="GHEA Grapalat" w:hAnsi="GHEA Grapalat"/>
          <w:b/>
          <w:sz w:val="24"/>
          <w:szCs w:val="24"/>
        </w:rPr>
      </w:pPr>
      <w:r w:rsidRPr="00035820">
        <w:rPr>
          <w:rFonts w:ascii="GHEA Grapalat" w:hAnsi="GHEA Grapalat"/>
          <w:b/>
          <w:sz w:val="24"/>
          <w:szCs w:val="24"/>
        </w:rPr>
        <w:t>Եվրասիական տնտեսական միության ջեռուցման մազութի ինդիկատիվ (կանխատեսումային) հաշվեկշիռը 20___ – 20___ թվականներին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right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(հազ. տոննա)</w:t>
      </w:r>
    </w:p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DB1B92" w:rsidRPr="00035820" w:rsidTr="00CE7BFF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Արտադրությունը**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7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DB1B92" w:rsidRPr="00035820" w:rsidTr="00CE7BFF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DB1B92" w:rsidRPr="00035820" w:rsidTr="00CE7BFF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Ղազախստանի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DB1B92" w:rsidRPr="00035820" w:rsidTr="00CE7BFF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DB1B92" w:rsidRPr="00035820" w:rsidTr="00CE7BFF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15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/>
    <w:tbl>
      <w:tblPr>
        <w:tblOverlap w:val="never"/>
        <w:tblW w:w="92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932"/>
        <w:gridCol w:w="932"/>
        <w:gridCol w:w="932"/>
      </w:tblGrid>
      <w:tr w:rsidR="00DB1B92" w:rsidRPr="00035820" w:rsidTr="00CE7BFF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Sylfaen" w:hAnsi="Sylfaen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20__ թվականի համար*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Ակնկալվող ցուցանիշը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20__ թվականին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թվակա-նին</w:t>
            </w: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099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**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48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32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497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160"/>
        <w:rPr>
          <w:rFonts w:ascii="GHEA Grapalat" w:hAnsi="GHEA Grapalat"/>
        </w:rPr>
      </w:pPr>
    </w:p>
    <w:p w:rsidR="00DB1B92" w:rsidRPr="00035820" w:rsidRDefault="00DB1B92" w:rsidP="00DB1B92">
      <w:pPr>
        <w:spacing w:after="240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357505</wp:posOffset>
                </wp:positionV>
                <wp:extent cx="1828800" cy="0"/>
                <wp:effectExtent l="7620" t="5715" r="1143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7.3pt;margin-top:28.15pt;width:2in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"/>
            </w:pict>
          </mc:Fallback>
        </mc:AlternateContent>
      </w:r>
    </w:p>
    <w:p w:rsidR="00DB1B92" w:rsidRPr="00035820" w:rsidRDefault="00DB1B92" w:rsidP="00DB1B92">
      <w:pPr>
        <w:pStyle w:val="Tablecaption20"/>
        <w:shd w:val="clear" w:color="auto" w:fill="auto"/>
        <w:spacing w:line="240" w:lineRule="auto"/>
        <w:ind w:left="284" w:hanging="284"/>
        <w:rPr>
          <w:rFonts w:ascii="GHEA Grapalat" w:hAnsi="GHEA Grapalat"/>
          <w:szCs w:val="24"/>
        </w:rPr>
      </w:pPr>
      <w:r w:rsidRPr="00035820">
        <w:rPr>
          <w:rStyle w:val="Bodytext212pt"/>
          <w:rFonts w:ascii="GHEA Grapalat" w:hAnsi="GHEA Grapalat"/>
          <w:sz w:val="20"/>
        </w:rPr>
        <w:t>*</w:t>
      </w:r>
      <w:r w:rsidRPr="00035820">
        <w:rPr>
          <w:rStyle w:val="Bodytext212pt"/>
          <w:rFonts w:ascii="GHEA Grapalat" w:hAnsi="GHEA Grapalat"/>
          <w:sz w:val="20"/>
        </w:rPr>
        <w:tab/>
        <w:t>Լրացվում է Հանձնաժողովի կողմից՝ անդամ պետությունների ներկայացրած վիճակագրական տվյալների հիման վրա:</w:t>
      </w:r>
    </w:p>
    <w:p w:rsidR="00DB1B92" w:rsidRPr="00C35CD3" w:rsidRDefault="00DB1B92" w:rsidP="00DB1B92">
      <w:pPr>
        <w:pStyle w:val="Tablecaption20"/>
        <w:shd w:val="clear" w:color="auto" w:fill="auto"/>
        <w:spacing w:line="240" w:lineRule="auto"/>
        <w:ind w:left="284" w:hanging="284"/>
        <w:rPr>
          <w:rFonts w:ascii="GHEA Grapalat" w:hAnsi="GHEA Grapalat"/>
          <w:sz w:val="24"/>
          <w:szCs w:val="24"/>
        </w:rPr>
      </w:pPr>
      <w:r w:rsidRPr="00035820">
        <w:rPr>
          <w:rStyle w:val="Bodytext212pt"/>
          <w:rFonts w:ascii="GHEA Grapalat" w:hAnsi="GHEA Grapalat"/>
          <w:sz w:val="20"/>
        </w:rPr>
        <w:t>**</w:t>
      </w:r>
      <w:r w:rsidRPr="00035820">
        <w:rPr>
          <w:rStyle w:val="Bodytext212pt"/>
          <w:rFonts w:ascii="GHEA Grapalat" w:hAnsi="GHEA Grapalat"/>
          <w:sz w:val="20"/>
        </w:rPr>
        <w:tab/>
        <w:t xml:space="preserve">Նշվում է որպես տեղեկատվություն, </w:t>
      </w:r>
      <w:r>
        <w:rPr>
          <w:rStyle w:val="Bodytext212pt"/>
          <w:rFonts w:ascii="GHEA Grapalat" w:hAnsi="GHEA Grapalat"/>
          <w:sz w:val="20"/>
        </w:rPr>
        <w:t>և</w:t>
      </w:r>
      <w:r w:rsidRPr="00035820">
        <w:rPr>
          <w:rStyle w:val="Bodytext212pt"/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պահանջվում:</w:t>
      </w:r>
      <w:r w:rsidRPr="00035820">
        <w:rPr>
          <w:rFonts w:ascii="GHEA Grapalat" w:hAnsi="GHEA Grapalat"/>
          <w:szCs w:val="24"/>
        </w:rPr>
        <w:t xml:space="preserve"> 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11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60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Bodytext60"/>
        <w:shd w:val="clear" w:color="auto" w:fill="auto"/>
        <w:spacing w:before="0" w:after="160" w:line="240" w:lineRule="auto"/>
        <w:ind w:right="-6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Ռեակտիվ շարժիչների համար նախատեսված վառելիքի ինդիկատիվ (կանխատեսումային) հաշվեկշիռը</w:t>
      </w:r>
    </w:p>
    <w:p w:rsidR="00DB1B92" w:rsidRPr="00035820" w:rsidRDefault="00DB1B92" w:rsidP="00DB1B92">
      <w:pPr>
        <w:pStyle w:val="Bodytext60"/>
        <w:shd w:val="clear" w:color="auto" w:fill="auto"/>
        <w:spacing w:before="0" w:after="0" w:line="240" w:lineRule="auto"/>
        <w:ind w:right="-6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___________________________________________________________________</w:t>
      </w:r>
    </w:p>
    <w:p w:rsidR="00DB1B92" w:rsidRPr="00035820" w:rsidRDefault="00DB1B92" w:rsidP="00DB1B92">
      <w:pPr>
        <w:pStyle w:val="Bodytext70"/>
        <w:shd w:val="clear" w:color="auto" w:fill="auto"/>
        <w:spacing w:before="0" w:after="160" w:line="240" w:lineRule="auto"/>
        <w:ind w:right="-6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(Եվրասիական տնտեսական միության անդամ պետության անվանումը)</w:t>
      </w:r>
    </w:p>
    <w:p w:rsidR="00DB1B92" w:rsidRPr="00C35CD3" w:rsidRDefault="00DB1B92" w:rsidP="00DB1B92">
      <w:pPr>
        <w:pStyle w:val="Bodytext60"/>
        <w:shd w:val="clear" w:color="auto" w:fill="auto"/>
        <w:spacing w:before="0" w:after="160" w:line="240" w:lineRule="auto"/>
        <w:ind w:right="-6"/>
        <w:jc w:val="center"/>
        <w:rPr>
          <w:rFonts w:ascii="GHEA Grapalat" w:hAnsi="GHEA Grapalat"/>
          <w:sz w:val="24"/>
          <w:szCs w:val="24"/>
          <w:lang w:val="ru-RU"/>
        </w:rPr>
      </w:pPr>
      <w:r w:rsidRPr="00035820">
        <w:rPr>
          <w:rFonts w:ascii="GHEA Grapalat" w:hAnsi="GHEA Grapalat"/>
          <w:sz w:val="24"/>
          <w:szCs w:val="24"/>
        </w:rPr>
        <w:t>20___ - 20___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t>(հազ. տոննա)</w:t>
      </w: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0"/>
        <w:gridCol w:w="1350"/>
        <w:gridCol w:w="1351"/>
        <w:gridCol w:w="936"/>
        <w:gridCol w:w="936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պետություններից**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պետություններ**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0"/>
        <w:gridCol w:w="1350"/>
        <w:gridCol w:w="1351"/>
        <w:gridCol w:w="936"/>
        <w:gridCol w:w="936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2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941F9">
              <w:rPr>
                <w:rStyle w:val="FootnoteReference"/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footnoteReference w:customMarkFollows="1" w:id="3"/>
              <w:t>*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0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5510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C35CD3" w:rsidRDefault="00DB1B92" w:rsidP="00DB1B92">
      <w:pPr>
        <w:pStyle w:val="Footnote20"/>
        <w:shd w:val="clear" w:color="auto" w:fill="auto"/>
        <w:spacing w:after="160" w:line="240" w:lineRule="auto"/>
        <w:jc w:val="both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>ՀԱՎԵԼՎԱԾ 12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գազի, նավթի 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 xml:space="preserve"> նավթամթերքների ինդիկատիվ (կանխատեսումային) հաշվեկշիռների ձ</w:t>
      </w:r>
      <w:r>
        <w:rPr>
          <w:rFonts w:ascii="GHEA Grapalat" w:hAnsi="GHEA Grapalat"/>
          <w:sz w:val="24"/>
          <w:szCs w:val="24"/>
        </w:rPr>
        <w:t>և</w:t>
      </w:r>
      <w:r w:rsidRPr="00035820">
        <w:rPr>
          <w:rFonts w:ascii="GHEA Grapalat" w:hAnsi="GHEA Grapalat"/>
          <w:sz w:val="24"/>
          <w:szCs w:val="24"/>
        </w:rPr>
        <w:t>ավորման մեթոդաբանության</w:t>
      </w:r>
    </w:p>
    <w:p w:rsidR="00DB1B92" w:rsidRPr="00035820" w:rsidRDefault="00DB1B92" w:rsidP="00DB1B92">
      <w:pPr>
        <w:pStyle w:val="Bodytext20"/>
        <w:shd w:val="clear" w:color="auto" w:fill="auto"/>
        <w:spacing w:before="0" w:after="160" w:line="24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</w:p>
    <w:p w:rsidR="00DB1B92" w:rsidRPr="00C35CD3" w:rsidRDefault="00DB1B92" w:rsidP="00DB1B92">
      <w:pPr>
        <w:pStyle w:val="Bodytext60"/>
        <w:shd w:val="clear" w:color="auto" w:fill="auto"/>
        <w:spacing w:before="0" w:after="160" w:line="24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035820">
        <w:rPr>
          <w:rFonts w:ascii="GHEA Grapalat" w:hAnsi="GHEA Grapalat"/>
          <w:sz w:val="24"/>
          <w:szCs w:val="24"/>
        </w:rPr>
        <w:t xml:space="preserve">Եվրասիական տնտեսական միության ռեակտիվ շարժիչների համար նախատեսված վառելիքի ինդիկատիվ (կանխատեսումային) հաշվեկշիռը </w:t>
      </w:r>
      <w:r w:rsidRPr="00035820">
        <w:rPr>
          <w:rFonts w:ascii="GHEA Grapalat" w:hAnsi="GHEA Grapalat"/>
          <w:sz w:val="24"/>
          <w:szCs w:val="24"/>
        </w:rPr>
        <w:br/>
        <w:t>20___ – 20___ թվականներին</w:t>
      </w:r>
    </w:p>
    <w:p w:rsidR="00DB1B92" w:rsidRPr="00035820" w:rsidRDefault="00DB1B92" w:rsidP="00DB1B92">
      <w:pPr>
        <w:pStyle w:val="Bodytext50"/>
        <w:shd w:val="clear" w:color="auto" w:fill="auto"/>
        <w:spacing w:after="160" w:line="240" w:lineRule="auto"/>
        <w:ind w:firstLine="0"/>
        <w:jc w:val="right"/>
        <w:rPr>
          <w:rFonts w:ascii="GHEA Grapalat" w:hAnsi="GHEA Grapalat"/>
        </w:rPr>
      </w:pPr>
      <w:r w:rsidRPr="00035820">
        <w:rPr>
          <w:rFonts w:ascii="GHEA Grapalat" w:hAnsi="GHEA Grapalat"/>
        </w:rPr>
        <w:lastRenderedPageBreak/>
        <w:t>(հազ. տոննա)</w:t>
      </w: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Մուտքային մաս՝ ռեսուրսներ</w:t>
            </w:r>
          </w:p>
        </w:tc>
        <w:tc>
          <w:tcPr>
            <w:tcW w:w="55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Արտադրությունը**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Default="00DB1B92" w:rsidP="00DB1B92">
      <w:pPr>
        <w:rPr>
          <w:lang w:val="ru-RU"/>
        </w:rPr>
      </w:pPr>
    </w:p>
    <w:p w:rsidR="00DB1B92" w:rsidRPr="00C35CD3" w:rsidRDefault="00DB1B92" w:rsidP="00DB1B92">
      <w:pPr>
        <w:rPr>
          <w:lang w:val="ru-RU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Այլ մուտքեր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Ղրղզստանի Հանրապետությունում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Ներմուծում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Ակնկալվող ցուցանիշը </w:t>
            </w:r>
            <w:r w:rsidRPr="00035820">
              <w:rPr>
                <w:rStyle w:val="Bodytext212pt"/>
                <w:rFonts w:ascii="GHEA Grapalat" w:hAnsi="GHEA Grapalat"/>
              </w:rPr>
              <w:lastRenderedPageBreak/>
              <w:t xml:space="preserve">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պետություններից**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Ծախսային մաս՝ բաշխում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Արտահանում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անդամ պետություններ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937"/>
        <w:gridCol w:w="937"/>
        <w:gridCol w:w="937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5512" w:type="dxa"/>
            <w:gridSpan w:val="5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582"/>
        <w:gridCol w:w="769"/>
        <w:gridCol w:w="937"/>
        <w:gridCol w:w="454"/>
        <w:gridCol w:w="483"/>
        <w:gridCol w:w="212"/>
        <w:gridCol w:w="725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Հանրապետությունից</w:t>
            </w:r>
          </w:p>
        </w:tc>
        <w:tc>
          <w:tcPr>
            <w:tcW w:w="5512" w:type="dxa"/>
            <w:gridSpan w:val="8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1114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5512" w:type="dxa"/>
            <w:gridSpan w:val="8"/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երրորդ պետություններ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**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lastRenderedPageBreak/>
              <w:t>Ղազախստանի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830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Դաշնությունից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263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Մատակարարում ներքին շուկա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Հայաստանի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rPr>
          <w:lang w:val="en-US"/>
        </w:rPr>
      </w:pPr>
    </w:p>
    <w:tbl>
      <w:tblPr>
        <w:tblOverlap w:val="never"/>
        <w:tblW w:w="93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582"/>
        <w:gridCol w:w="769"/>
        <w:gridCol w:w="937"/>
        <w:gridCol w:w="454"/>
        <w:gridCol w:w="483"/>
        <w:gridCol w:w="212"/>
        <w:gridCol w:w="725"/>
      </w:tblGrid>
      <w:tr w:rsidR="00DB1B92" w:rsidRPr="00035820" w:rsidTr="00CE7BFF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Հաշվետու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20__ թվականի համար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*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 xml:space="preserve">Ակնկալվող ցուցանիշը 20__ թվականին </w:t>
            </w: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Կանխատեսումային</w:t>
            </w:r>
            <w:r w:rsidRPr="000941F9"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  <w:t xml:space="preserve"> </w:t>
            </w:r>
            <w:r w:rsidRPr="00035820">
              <w:rPr>
                <w:rStyle w:val="Bodytext212pt"/>
                <w:rFonts w:ascii="GHEA Grapalat" w:hAnsi="GHEA Grapalat"/>
              </w:rPr>
              <w:t>ցուցանիշը</w:t>
            </w:r>
          </w:p>
        </w:tc>
      </w:tr>
      <w:tr w:rsidR="00DB1B92" w:rsidRPr="00035820" w:rsidTr="00CE7BFF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35820" w:rsidRDefault="00DB1B92" w:rsidP="00CE7BFF">
            <w:pPr>
              <w:spacing w:after="160"/>
              <w:jc w:val="center"/>
              <w:rPr>
                <w:rFonts w:ascii="GHEA Grapalat" w:hAnsi="GHEA Grapala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20__ թվակա</w:t>
            </w:r>
            <w:r w:rsidRPr="00035820">
              <w:rPr>
                <w:rStyle w:val="Bodytext212pt"/>
                <w:rFonts w:ascii="GHEA Grapalat" w:hAnsi="GHEA Grapalat"/>
                <w:lang w:val="en-US"/>
              </w:rPr>
              <w:t>-</w:t>
            </w:r>
            <w:r w:rsidRPr="00035820">
              <w:rPr>
                <w:rStyle w:val="Bodytext212pt"/>
                <w:rFonts w:ascii="GHEA Grapalat" w:hAnsi="GHEA Grapalat"/>
              </w:rPr>
              <w:t>նին</w:t>
            </w: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Բելառուսի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Ղազախստանի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Ղրղզստանի Հանրապետությունում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  <w:tr w:rsidR="00DB1B92" w:rsidRPr="00035820" w:rsidTr="00CE7BF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DB1B92" w:rsidRPr="000941F9" w:rsidRDefault="00DB1B92" w:rsidP="00CE7BFF">
            <w:pPr>
              <w:pStyle w:val="Bodytext20"/>
              <w:shd w:val="clear" w:color="auto" w:fill="auto"/>
              <w:spacing w:before="0" w:after="160" w:line="240" w:lineRule="auto"/>
              <w:ind w:left="547" w:firstLine="0"/>
              <w:jc w:val="left"/>
              <w:rPr>
                <w:rFonts w:ascii="GHEA Grapalat" w:hAnsi="GHEA Grapalat"/>
                <w:color w:val="000000"/>
                <w:sz w:val="24"/>
                <w:szCs w:val="24"/>
                <w:lang w:val="hy-AM" w:eastAsia="hy-AM" w:bidi="hy-AM"/>
              </w:rPr>
            </w:pPr>
            <w:r w:rsidRPr="00035820">
              <w:rPr>
                <w:rStyle w:val="Bodytext212pt"/>
                <w:rFonts w:ascii="GHEA Grapalat" w:hAnsi="GHEA Grapalat"/>
              </w:rPr>
              <w:t>Ռուսաստանի Դաշնությունում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69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1391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  <w:tc>
          <w:tcPr>
            <w:tcW w:w="725" w:type="dxa"/>
            <w:shd w:val="clear" w:color="auto" w:fill="FFFFFF"/>
          </w:tcPr>
          <w:p w:rsidR="00DB1B92" w:rsidRPr="00035820" w:rsidRDefault="00DB1B92" w:rsidP="00CE7BFF">
            <w:pPr>
              <w:spacing w:after="160"/>
              <w:rPr>
                <w:rFonts w:ascii="GHEA Grapalat" w:hAnsi="GHEA Grapalat"/>
              </w:rPr>
            </w:pPr>
          </w:p>
        </w:tc>
      </w:tr>
    </w:tbl>
    <w:p w:rsidR="00DB1B92" w:rsidRPr="00035820" w:rsidRDefault="00DB1B92" w:rsidP="00DB1B92">
      <w:pPr>
        <w:pStyle w:val="Tablecaption2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Tablecaption2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19708E" w:rsidRDefault="00DB1B92" w:rsidP="00DB1B92">
      <w:pPr>
        <w:pStyle w:val="Tablecaption20"/>
        <w:shd w:val="clear" w:color="auto" w:fill="auto"/>
        <w:spacing w:after="160" w:line="240" w:lineRule="auto"/>
        <w:jc w:val="center"/>
        <w:rPr>
          <w:rFonts w:ascii="GHEA Grapalat" w:hAnsi="GHEA Grapalat"/>
          <w:b/>
          <w:i/>
          <w:sz w:val="28"/>
          <w:szCs w:val="28"/>
        </w:rPr>
      </w:pPr>
      <w:r w:rsidRPr="0019708E">
        <w:rPr>
          <w:rFonts w:ascii="GHEA Grapalat" w:hAnsi="GHEA Grapalat"/>
          <w:b/>
          <w:i/>
          <w:sz w:val="28"/>
          <w:szCs w:val="28"/>
        </w:rPr>
        <w:t>Համաձայնագիրն ուժի մեջ է մտել 2016թ. սեպտեմբերի 30-ին</w:t>
      </w:r>
    </w:p>
    <w:p w:rsidR="00DB1B92" w:rsidRPr="00035820" w:rsidRDefault="00DB1B92" w:rsidP="00DB1B92">
      <w:pPr>
        <w:pStyle w:val="Tablecaption2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Tablecaption2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Tablecaption2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Tablecaption2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p w:rsidR="00DB1B92" w:rsidRPr="00035820" w:rsidRDefault="00DB1B92" w:rsidP="00DB1B92">
      <w:pPr>
        <w:pStyle w:val="Tablecaption20"/>
        <w:shd w:val="clear" w:color="auto" w:fill="auto"/>
        <w:spacing w:after="60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608965</wp:posOffset>
                </wp:positionV>
                <wp:extent cx="1828800" cy="0"/>
                <wp:effectExtent l="8255" t="5715" r="1079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2pt;margin-top:47.95pt;width:2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"/>
            </w:pict>
          </mc:Fallback>
        </mc:AlternateContent>
      </w:r>
    </w:p>
    <w:p w:rsidR="00DB1B92" w:rsidRPr="00035820" w:rsidRDefault="00DB1B92" w:rsidP="00DB1B92">
      <w:pPr>
        <w:pStyle w:val="Tablecaption20"/>
        <w:shd w:val="clear" w:color="auto" w:fill="auto"/>
        <w:spacing w:line="240" w:lineRule="auto"/>
        <w:ind w:left="284" w:hanging="284"/>
        <w:rPr>
          <w:rFonts w:ascii="GHEA Grapalat" w:hAnsi="GHEA Grapalat"/>
          <w:szCs w:val="24"/>
        </w:rPr>
      </w:pPr>
      <w:r w:rsidRPr="00035820">
        <w:rPr>
          <w:rStyle w:val="Bodytext212pt"/>
          <w:rFonts w:ascii="GHEA Grapalat" w:hAnsi="GHEA Grapalat"/>
          <w:sz w:val="20"/>
          <w:lang w:val="en-US"/>
        </w:rPr>
        <w:t>*</w:t>
      </w:r>
      <w:r w:rsidRPr="00035820">
        <w:rPr>
          <w:rStyle w:val="Bodytext212pt"/>
          <w:rFonts w:ascii="GHEA Grapalat" w:hAnsi="GHEA Grapalat"/>
          <w:sz w:val="20"/>
          <w:lang w:val="en-US"/>
        </w:rPr>
        <w:tab/>
      </w:r>
      <w:r w:rsidRPr="00035820">
        <w:rPr>
          <w:rStyle w:val="Bodytext212pt"/>
          <w:rFonts w:ascii="GHEA Grapalat" w:hAnsi="GHEA Grapalat"/>
          <w:sz w:val="20"/>
        </w:rPr>
        <w:t>Լրացվում է Հանձնաժողովի կողմից՝ անդամ պետությունների ներկայացրած վիճակագրական տվյալների հիման վրա:</w:t>
      </w:r>
    </w:p>
    <w:p w:rsidR="00DB1B92" w:rsidRPr="00BE2BB3" w:rsidRDefault="00DB1B92" w:rsidP="00DB1B92">
      <w:pPr>
        <w:pStyle w:val="Tablecaption20"/>
        <w:shd w:val="clear" w:color="auto" w:fill="auto"/>
        <w:spacing w:line="240" w:lineRule="auto"/>
        <w:ind w:left="284" w:hanging="284"/>
        <w:rPr>
          <w:rFonts w:ascii="GHEA Grapalat" w:hAnsi="GHEA Grapalat"/>
          <w:szCs w:val="24"/>
        </w:rPr>
      </w:pPr>
      <w:r w:rsidRPr="00035820">
        <w:rPr>
          <w:rFonts w:ascii="GHEA Grapalat" w:hAnsi="GHEA Grapalat"/>
          <w:szCs w:val="24"/>
        </w:rPr>
        <w:t>**</w:t>
      </w:r>
      <w:r w:rsidRPr="00035820">
        <w:rPr>
          <w:rFonts w:ascii="GHEA Grapalat" w:hAnsi="GHEA Grapalat"/>
          <w:szCs w:val="24"/>
        </w:rPr>
        <w:tab/>
      </w:r>
      <w:r w:rsidRPr="00035820">
        <w:rPr>
          <w:rStyle w:val="Bodytext212pt"/>
          <w:rFonts w:ascii="GHEA Grapalat" w:hAnsi="GHEA Grapalat"/>
          <w:sz w:val="20"/>
        </w:rPr>
        <w:t xml:space="preserve">Նշվում է որպես տեղեկատվություն, </w:t>
      </w:r>
      <w:r>
        <w:rPr>
          <w:rStyle w:val="Bodytext212pt"/>
          <w:rFonts w:ascii="GHEA Grapalat" w:hAnsi="GHEA Grapalat"/>
          <w:sz w:val="20"/>
        </w:rPr>
        <w:t>և</w:t>
      </w:r>
      <w:r w:rsidRPr="00035820">
        <w:rPr>
          <w:rStyle w:val="Bodytext212pt"/>
          <w:rFonts w:ascii="GHEA Grapalat" w:hAnsi="GHEA Grapalat"/>
          <w:sz w:val="20"/>
        </w:rPr>
        <w:t xml:space="preserve"> անդամ պետությունների լիազոր մարմինների կողմից համաձայնեցում չի պահանջվում:</w:t>
      </w:r>
    </w:p>
    <w:p w:rsidR="00027CE1" w:rsidRDefault="00027CE1">
      <w:bookmarkStart w:id="1" w:name="_GoBack"/>
      <w:bookmarkEnd w:id="1"/>
    </w:p>
    <w:sectPr w:rsidR="00027CE1" w:rsidSect="00DB1B92">
      <w:footerReference w:type="even" r:id="rId8"/>
      <w:footerReference w:type="default" r:id="rId9"/>
      <w:pgSz w:w="11900" w:h="16840" w:code="9"/>
      <w:pgMar w:top="1418" w:right="1418" w:bottom="1418" w:left="1418" w:header="0" w:footer="1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1D" w:rsidRDefault="00737C1D" w:rsidP="00DB1B92">
      <w:r>
        <w:separator/>
      </w:r>
    </w:p>
  </w:endnote>
  <w:endnote w:type="continuationSeparator" w:id="0">
    <w:p w:rsidR="00737C1D" w:rsidRDefault="00737C1D" w:rsidP="00DB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A1" w:rsidRDefault="00DB1B92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9F0AE9D" wp14:editId="01679C6C">
              <wp:simplePos x="0" y="0"/>
              <wp:positionH relativeFrom="page">
                <wp:posOffset>1165860</wp:posOffset>
              </wp:positionH>
              <wp:positionV relativeFrom="page">
                <wp:posOffset>4702175</wp:posOffset>
              </wp:positionV>
              <wp:extent cx="5934710" cy="290195"/>
              <wp:effectExtent l="381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71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FA1" w:rsidRDefault="00737C1D">
                          <w:pPr>
                            <w:pStyle w:val="Headerorfooter1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9"/>
                            </w:rPr>
                            <w:t>** Նշվում է որպես տեղեկատվություն և անդամ</w:t>
                          </w:r>
                          <w:r>
                            <w:rPr>
                              <w:rStyle w:val="Headerorfooter9"/>
                            </w:rPr>
                            <w:t xml:space="preserve"> պետությունների լիազոր մարմինների կողմից համաձայնեցում չի պահանջում:</w:t>
                          </w:r>
                        </w:p>
                        <w:p w:rsidR="009E6FA1" w:rsidRDefault="00737C1D">
                          <w:pPr>
                            <w:pStyle w:val="Headerorfooter1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9"/>
                            </w:rPr>
                            <w:t>111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1.8pt;margin-top:370.25pt;width:467.3pt;height:2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" filled="f" stroked="f">
              <v:textbox style="mso-fit-shape-to-text:t" inset="0,0,0,0">
                <w:txbxContent>
                  <w:p w:rsidR="009E6FA1" w:rsidRDefault="00737C1D">
                    <w:pPr>
                      <w:pStyle w:val="Headerorfooter12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9"/>
                      </w:rPr>
                      <w:t>** Նշվում է որպես տեղեկատվություն և անդամ</w:t>
                    </w:r>
                    <w:r>
                      <w:rPr>
                        <w:rStyle w:val="Headerorfooter9"/>
                      </w:rPr>
                      <w:t xml:space="preserve"> պետությունների լիազոր մարմինների կողմից համաձայնեցում չի պահանջում:</w:t>
                    </w:r>
                  </w:p>
                  <w:p w:rsidR="009E6FA1" w:rsidRDefault="00737C1D">
                    <w:pPr>
                      <w:pStyle w:val="Headerorfooter12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9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9B" w:rsidRDefault="00737C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1B92">
      <w:rPr>
        <w:noProof/>
      </w:rPr>
      <w:t>80</w:t>
    </w:r>
    <w:r>
      <w:rPr>
        <w:noProof/>
      </w:rPr>
      <w:fldChar w:fldCharType="end"/>
    </w:r>
  </w:p>
  <w:p w:rsidR="00E0059B" w:rsidRDefault="00737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1D" w:rsidRDefault="00737C1D" w:rsidP="00DB1B92">
      <w:r>
        <w:separator/>
      </w:r>
    </w:p>
  </w:footnote>
  <w:footnote w:type="continuationSeparator" w:id="0">
    <w:p w:rsidR="00737C1D" w:rsidRDefault="00737C1D" w:rsidP="00DB1B92">
      <w:r>
        <w:continuationSeparator/>
      </w:r>
    </w:p>
  </w:footnote>
  <w:footnote w:id="1">
    <w:p w:rsidR="00DB1B92" w:rsidRPr="00B4415C" w:rsidRDefault="00DB1B92" w:rsidP="00DB1B92">
      <w:pPr>
        <w:pStyle w:val="Footnote0"/>
        <w:shd w:val="clear" w:color="auto" w:fill="auto"/>
        <w:spacing w:line="240" w:lineRule="exact"/>
        <w:ind w:left="142" w:hanging="142"/>
        <w:jc w:val="both"/>
        <w:rPr>
          <w:rFonts w:ascii="GHEA Grapalat" w:hAnsi="GHEA Grapalat"/>
        </w:rPr>
      </w:pPr>
      <w:r w:rsidRPr="00B4415C">
        <w:rPr>
          <w:rFonts w:ascii="GHEA Grapalat" w:hAnsi="GHEA Grapalat"/>
          <w:vertAlign w:val="superscript"/>
        </w:rPr>
        <w:footnoteRef/>
      </w:r>
      <w:r w:rsidRPr="00B4415C">
        <w:rPr>
          <w:rFonts w:ascii="GHEA Grapalat" w:hAnsi="GHEA Grapalat"/>
        </w:rPr>
        <w:t xml:space="preserve"> </w:t>
      </w:r>
      <w:r w:rsidRPr="00B4415C">
        <w:rPr>
          <w:rFonts w:ascii="GHEA Grapalat" w:hAnsi="GHEA Grapalat"/>
        </w:rPr>
        <w:tab/>
        <w:t>Վերաբերում է Ռուսաստանի Դաշնությանը:</w:t>
      </w:r>
    </w:p>
  </w:footnote>
  <w:footnote w:id="2">
    <w:p w:rsidR="00DB1B92" w:rsidRPr="00B4415C" w:rsidRDefault="00DB1B92" w:rsidP="00DB1B92">
      <w:pPr>
        <w:pStyle w:val="FootnoteText"/>
        <w:ind w:left="284" w:hanging="284"/>
        <w:jc w:val="both"/>
        <w:rPr>
          <w:rStyle w:val="Bodytext212pt"/>
          <w:rFonts w:ascii="GHEA Grapalat" w:eastAsia="Sylfaen" w:hAnsi="GHEA Grapalat"/>
          <w:sz w:val="20"/>
          <w:szCs w:val="20"/>
        </w:rPr>
      </w:pPr>
      <w:r w:rsidRPr="00B4415C">
        <w:rPr>
          <w:rStyle w:val="FootnoteReference"/>
          <w:rFonts w:ascii="GHEA Grapalat" w:hAnsi="GHEA Grapalat"/>
        </w:rPr>
        <w:t>*</w:t>
      </w:r>
      <w:r w:rsidRPr="00B4415C">
        <w:rPr>
          <w:rFonts w:ascii="GHEA Grapalat" w:hAnsi="GHEA Grapalat"/>
        </w:rPr>
        <w:tab/>
      </w:r>
      <w:r w:rsidRPr="00B4415C">
        <w:rPr>
          <w:rStyle w:val="Bodytext212pt"/>
          <w:rFonts w:ascii="GHEA Grapalat" w:eastAsia="Sylfaen" w:hAnsi="GHEA Grapalat"/>
          <w:sz w:val="20"/>
          <w:szCs w:val="20"/>
        </w:rPr>
        <w:t>Նշվում է որպես տեղեկատվություն, եւ անդամ պետությունների լիազոր մարմինների կողմից համաձայնեցում չի պահանջվում:</w:t>
      </w:r>
    </w:p>
    <w:p w:rsidR="00DB1B92" w:rsidRPr="00B4415C" w:rsidRDefault="00DB1B92" w:rsidP="00DB1B92">
      <w:pPr>
        <w:pStyle w:val="FootnoteText"/>
        <w:ind w:left="284" w:hanging="284"/>
        <w:jc w:val="both"/>
        <w:rPr>
          <w:rFonts w:ascii="GHEA Grapalat" w:hAnsi="GHEA Grapalat"/>
        </w:rPr>
      </w:pPr>
      <w:r w:rsidRPr="00B4415C">
        <w:rPr>
          <w:rStyle w:val="Bodytext212pt"/>
          <w:rFonts w:ascii="GHEA Grapalat" w:eastAsia="Sylfaen" w:hAnsi="GHEA Grapalat"/>
          <w:sz w:val="20"/>
          <w:szCs w:val="20"/>
        </w:rPr>
        <w:t>**</w:t>
      </w:r>
      <w:r w:rsidRPr="00B4415C">
        <w:rPr>
          <w:rStyle w:val="Bodytext212pt"/>
          <w:rFonts w:ascii="GHEA Grapalat" w:eastAsia="Sylfaen" w:hAnsi="GHEA Grapalat"/>
          <w:sz w:val="20"/>
          <w:szCs w:val="20"/>
        </w:rPr>
        <w:tab/>
        <w:t>Չի նշվում սույն հաշվեկշիռը ներկայացնող անդամ պետությունը:</w:t>
      </w:r>
    </w:p>
  </w:footnote>
  <w:footnote w:id="3">
    <w:p w:rsidR="00DB1B92" w:rsidRPr="00B4415C" w:rsidRDefault="00DB1B92" w:rsidP="00DB1B92">
      <w:pPr>
        <w:pStyle w:val="FootnoteText"/>
        <w:ind w:left="284" w:hanging="284"/>
        <w:jc w:val="both"/>
        <w:rPr>
          <w:rFonts w:ascii="GHEA Grapalat" w:hAnsi="GHEA Grapalat"/>
        </w:rPr>
      </w:pPr>
      <w:r w:rsidRPr="002D6061">
        <w:rPr>
          <w:rStyle w:val="FootnoteReference"/>
          <w:rFonts w:ascii="GHEA Grapalat" w:hAnsi="GHEA Grapalat"/>
        </w:rPr>
        <w:t>*</w:t>
      </w:r>
      <w:r w:rsidRPr="00035820">
        <w:rPr>
          <w:rFonts w:ascii="GHEA Grapalat" w:hAnsi="GHEA Grapalat"/>
        </w:rPr>
        <w:tab/>
      </w:r>
      <w:r w:rsidRPr="00B4415C">
        <w:rPr>
          <w:rFonts w:ascii="GHEA Grapalat" w:hAnsi="GHEA Grapalat"/>
        </w:rPr>
        <w:t>Նշվում է որպես տեղեկատվություն եւ անդամ պետությունների լիազոր մարմինների կողմից համաձայնեցում չի պահանջվում:</w:t>
      </w:r>
    </w:p>
    <w:p w:rsidR="00DB1B92" w:rsidRPr="00B4415C" w:rsidRDefault="00DB1B92" w:rsidP="00DB1B92">
      <w:pPr>
        <w:pStyle w:val="FootnoteText"/>
        <w:ind w:left="284" w:hanging="284"/>
        <w:jc w:val="both"/>
        <w:rPr>
          <w:rFonts w:ascii="GHEA Grapalat" w:hAnsi="GHEA Grapalat"/>
        </w:rPr>
      </w:pPr>
      <w:r>
        <w:rPr>
          <w:rFonts w:ascii="GHEA Grapalat" w:hAnsi="GHEA Grapalat"/>
        </w:rPr>
        <w:t>**</w:t>
      </w:r>
      <w:r w:rsidRPr="002D6061">
        <w:rPr>
          <w:rFonts w:ascii="GHEA Grapalat" w:hAnsi="GHEA Grapalat"/>
        </w:rPr>
        <w:tab/>
      </w:r>
      <w:r w:rsidRPr="00B4415C">
        <w:rPr>
          <w:rFonts w:ascii="GHEA Grapalat" w:hAnsi="GHEA Grapalat"/>
        </w:rPr>
        <w:t>Չի նշվում սույն հաշվեկշիռը ներկայացնող անդամ պետությունը: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243"/>
    <w:multiLevelType w:val="hybridMultilevel"/>
    <w:tmpl w:val="7972A5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7713C"/>
    <w:multiLevelType w:val="hybridMultilevel"/>
    <w:tmpl w:val="6CF8BF24"/>
    <w:lvl w:ilvl="0" w:tplc="2672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17"/>
    <w:rsid w:val="00027CE1"/>
    <w:rsid w:val="00737C1D"/>
    <w:rsid w:val="00DB1B92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9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1B92"/>
    <w:rPr>
      <w:color w:val="000080"/>
      <w:u w:val="single"/>
    </w:rPr>
  </w:style>
  <w:style w:type="character" w:customStyle="1" w:styleId="Footnote2">
    <w:name w:val="Footnote (2)_"/>
    <w:link w:val="Footnote2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9">
    <w:name w:val="Header or footer (9)_"/>
    <w:link w:val="Headerorfooter9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0"/>
    <w:rsid w:val="00DB1B9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2pt">
    <w:name w:val="Body text (2) + 12 pt"/>
    <w:rsid w:val="00DB1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6">
    <w:name w:val="Body text (6)_"/>
    <w:link w:val="Bodytext60"/>
    <w:rsid w:val="00DB1B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link w:val="Footnote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">
    <w:name w:val="Body text (7)_"/>
    <w:link w:val="Bodytext7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">
    <w:name w:val="Table caption (2)_"/>
    <w:link w:val="Tablecaption2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12">
    <w:name w:val="Header or footer (12)_"/>
    <w:link w:val="Headerorfooter12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211pt">
    <w:name w:val="Footnote (2) + 11 pt"/>
    <w:rsid w:val="00DB1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8pt">
    <w:name w:val="Body text (2) + 18 pt"/>
    <w:rsid w:val="00DB1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DB1B9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90">
    <w:name w:val="Header or footer (9)"/>
    <w:basedOn w:val="Normal"/>
    <w:link w:val="Headerorfooter9"/>
    <w:rsid w:val="00DB1B92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DB1B92"/>
    <w:pPr>
      <w:shd w:val="clear" w:color="auto" w:fill="FFFFFF"/>
      <w:spacing w:before="420" w:after="780" w:line="0" w:lineRule="atLeast"/>
      <w:ind w:hanging="90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DB1B92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DB1B92"/>
    <w:pPr>
      <w:shd w:val="clear" w:color="auto" w:fill="FFFFFF"/>
      <w:spacing w:line="277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Footnote0">
    <w:name w:val="Footnote"/>
    <w:basedOn w:val="Normal"/>
    <w:link w:val="Footnote"/>
    <w:rsid w:val="00DB1B92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DB1B92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DB1B92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120">
    <w:name w:val="Header or footer (12)"/>
    <w:basedOn w:val="Normal"/>
    <w:link w:val="Headerorfooter12"/>
    <w:rsid w:val="00DB1B92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DB1B92"/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B1B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1B92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B1B92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rsid w:val="00DB1B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B1B9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92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92"/>
    <w:rPr>
      <w:rFonts w:ascii="Tahoma" w:eastAsia="Sylfaen" w:hAnsi="Tahoma" w:cs="Times New Roman"/>
      <w:color w:val="000000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DB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B92"/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B92"/>
    <w:rPr>
      <w:rFonts w:ascii="Sylfaen" w:eastAsia="Sylfaen" w:hAnsi="Sylfaen" w:cs="Times New Roman"/>
      <w:b/>
      <w:bCs/>
      <w:color w:val="000000"/>
      <w:sz w:val="20"/>
      <w:szCs w:val="20"/>
      <w:lang w:val="x-none" w:eastAsia="x-none"/>
    </w:rPr>
  </w:style>
  <w:style w:type="character" w:customStyle="1" w:styleId="Heading1">
    <w:name w:val="Heading #1_"/>
    <w:link w:val="Heading10"/>
    <w:rsid w:val="00DB1B9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rsid w:val="00DB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aliases w:val="Bold"/>
    <w:rsid w:val="00DB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rsid w:val="00DB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DB1B9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table" w:styleId="TableGrid">
    <w:name w:val="Table Grid"/>
    <w:basedOn w:val="TableNormal"/>
    <w:uiPriority w:val="59"/>
    <w:rsid w:val="00DB1B92"/>
    <w:pPr>
      <w:spacing w:after="0" w:line="240" w:lineRule="auto"/>
    </w:pPr>
    <w:rPr>
      <w:rFonts w:ascii="Sylfaen" w:eastAsia="Sylfaen" w:hAnsi="Sylfaen" w:cs="Sylfae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B1B92"/>
    <w:rPr>
      <w:rFonts w:cs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DB1B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9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1B92"/>
    <w:rPr>
      <w:color w:val="000080"/>
      <w:u w:val="single"/>
    </w:rPr>
  </w:style>
  <w:style w:type="character" w:customStyle="1" w:styleId="Footnote2">
    <w:name w:val="Footnote (2)_"/>
    <w:link w:val="Footnote2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9">
    <w:name w:val="Header or footer (9)_"/>
    <w:link w:val="Headerorfooter9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0"/>
    <w:rsid w:val="00DB1B9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2pt">
    <w:name w:val="Body text (2) + 12 pt"/>
    <w:rsid w:val="00DB1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6">
    <w:name w:val="Body text (6)_"/>
    <w:link w:val="Bodytext60"/>
    <w:rsid w:val="00DB1B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link w:val="Footnote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">
    <w:name w:val="Body text (7)_"/>
    <w:link w:val="Bodytext7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">
    <w:name w:val="Table caption (2)_"/>
    <w:link w:val="Tablecaption2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12">
    <w:name w:val="Header or footer (12)_"/>
    <w:link w:val="Headerorfooter120"/>
    <w:rsid w:val="00DB1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211pt">
    <w:name w:val="Footnote (2) + 11 pt"/>
    <w:rsid w:val="00DB1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8pt">
    <w:name w:val="Body text (2) + 18 pt"/>
    <w:rsid w:val="00DB1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DB1B9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90">
    <w:name w:val="Header or footer (9)"/>
    <w:basedOn w:val="Normal"/>
    <w:link w:val="Headerorfooter9"/>
    <w:rsid w:val="00DB1B92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DB1B92"/>
    <w:pPr>
      <w:shd w:val="clear" w:color="auto" w:fill="FFFFFF"/>
      <w:spacing w:before="420" w:after="780" w:line="0" w:lineRule="atLeast"/>
      <w:ind w:hanging="90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60">
    <w:name w:val="Body text (6)"/>
    <w:basedOn w:val="Normal"/>
    <w:link w:val="Bodytext6"/>
    <w:rsid w:val="00DB1B92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DB1B92"/>
    <w:pPr>
      <w:shd w:val="clear" w:color="auto" w:fill="FFFFFF"/>
      <w:spacing w:line="277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Footnote0">
    <w:name w:val="Footnote"/>
    <w:basedOn w:val="Normal"/>
    <w:link w:val="Footnote"/>
    <w:rsid w:val="00DB1B92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DB1B92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DB1B92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erorfooter120">
    <w:name w:val="Header or footer (12)"/>
    <w:basedOn w:val="Normal"/>
    <w:link w:val="Headerorfooter12"/>
    <w:rsid w:val="00DB1B92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DB1B92"/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B1B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1B92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B1B92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rsid w:val="00DB1B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B1B9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92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92"/>
    <w:rPr>
      <w:rFonts w:ascii="Tahoma" w:eastAsia="Sylfaen" w:hAnsi="Tahoma" w:cs="Times New Roman"/>
      <w:color w:val="000000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DB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B92"/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B92"/>
    <w:rPr>
      <w:rFonts w:ascii="Sylfaen" w:eastAsia="Sylfaen" w:hAnsi="Sylfaen" w:cs="Times New Roman"/>
      <w:b/>
      <w:bCs/>
      <w:color w:val="000000"/>
      <w:sz w:val="20"/>
      <w:szCs w:val="20"/>
      <w:lang w:val="x-none" w:eastAsia="x-none"/>
    </w:rPr>
  </w:style>
  <w:style w:type="character" w:customStyle="1" w:styleId="Heading1">
    <w:name w:val="Heading #1_"/>
    <w:link w:val="Heading10"/>
    <w:rsid w:val="00DB1B9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rsid w:val="00DB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aliases w:val="Bold"/>
    <w:rsid w:val="00DB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rsid w:val="00DB1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DB1B9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table" w:styleId="TableGrid">
    <w:name w:val="Table Grid"/>
    <w:basedOn w:val="TableNormal"/>
    <w:uiPriority w:val="59"/>
    <w:rsid w:val="00DB1B92"/>
    <w:pPr>
      <w:spacing w:after="0" w:line="240" w:lineRule="auto"/>
    </w:pPr>
    <w:rPr>
      <w:rFonts w:ascii="Sylfaen" w:eastAsia="Sylfaen" w:hAnsi="Sylfaen" w:cs="Sylfae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B1B92"/>
    <w:rPr>
      <w:rFonts w:cs="Times New Roman"/>
      <w:sz w:val="20"/>
      <w:szCs w:val="20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B92"/>
    <w:rPr>
      <w:rFonts w:ascii="Sylfaen" w:eastAsia="Sylfaen" w:hAnsi="Sylfaen" w:cs="Times New Roman"/>
      <w:color w:val="000000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DB1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8120</Words>
  <Characters>46286</Characters>
  <Application>Microsoft Office Word</Application>
  <DocSecurity>0</DocSecurity>
  <Lines>385</Lines>
  <Paragraphs>108</Paragraphs>
  <ScaleCrop>false</ScaleCrop>
  <Company/>
  <LinksUpToDate>false</LinksUpToDate>
  <CharactersWithSpaces>54298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2016-12-14T08:36:00Z</dcterms:created>
  <dcterms:modified xsi:type="dcterms:W3CDTF">2016-12-14T08:36:00Z</dcterms:modified>
</cp:coreProperties>
</file>