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C7" w:rsidRPr="00E72AC7" w:rsidRDefault="00E72AC7" w:rsidP="00E72AC7">
      <w:pPr>
        <w:pStyle w:val="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72AC7">
        <w:rPr>
          <w:rFonts w:ascii="Sylfaen" w:hAnsi="Sylfaen"/>
          <w:sz w:val="24"/>
          <w:szCs w:val="24"/>
        </w:rPr>
        <w:t>ПРИЛОЖЕНИЕ</w:t>
      </w:r>
    </w:p>
    <w:p w:rsidR="00006614" w:rsidRPr="00E72AC7" w:rsidRDefault="00E72AC7" w:rsidP="00E72AC7">
      <w:pPr>
        <w:pStyle w:val="20"/>
        <w:shd w:val="clear" w:color="auto" w:fill="auto"/>
        <w:spacing w:before="0" w:after="0" w:line="240" w:lineRule="auto"/>
        <w:ind w:left="5670" w:right="-6"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к Решению Совета Евразийской экономической комиссии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от 3 марта 2017 г. № 34</w:t>
      </w:r>
    </w:p>
    <w:p w:rsidR="00E72AC7" w:rsidRPr="00DD1C44" w:rsidRDefault="00E72AC7" w:rsidP="00E72AC7">
      <w:pPr>
        <w:pStyle w:val="50"/>
        <w:shd w:val="clear" w:color="auto" w:fill="auto"/>
        <w:spacing w:line="240" w:lineRule="auto"/>
        <w:rPr>
          <w:rStyle w:val="52pt"/>
          <w:rFonts w:ascii="Sylfaen" w:hAnsi="Sylfaen"/>
          <w:b/>
          <w:bCs/>
          <w:spacing w:val="0"/>
          <w:sz w:val="24"/>
          <w:szCs w:val="24"/>
        </w:rPr>
      </w:pPr>
    </w:p>
    <w:p w:rsidR="00006614" w:rsidRPr="00E72AC7" w:rsidRDefault="00E72AC7" w:rsidP="00E72AC7">
      <w:pPr>
        <w:pStyle w:val="5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E72AC7">
        <w:rPr>
          <w:rStyle w:val="5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006614" w:rsidRPr="00DD1C44" w:rsidRDefault="00E72AC7" w:rsidP="00E72AC7">
      <w:pPr>
        <w:pStyle w:val="5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вносимые в Решение Комиссии Таможенного союза от 22 июня 2011 г. № 688</w:t>
      </w:r>
    </w:p>
    <w:p w:rsidR="00E72AC7" w:rsidRPr="00DD1C44" w:rsidRDefault="00E72AC7" w:rsidP="00E72AC7">
      <w:pPr>
        <w:pStyle w:val="50"/>
        <w:shd w:val="clear" w:color="auto" w:fill="auto"/>
        <w:spacing w:line="240" w:lineRule="auto"/>
        <w:ind w:left="1701" w:right="1693"/>
        <w:rPr>
          <w:rFonts w:ascii="Sylfaen" w:hAnsi="Sylfaen"/>
          <w:sz w:val="24"/>
          <w:szCs w:val="24"/>
        </w:rPr>
      </w:pP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1. В наименовании и пункте 1 слова «пограничного, таможенного,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>санитарно-карантинного, ветеринарного, карантинного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>фитосанитарного и транспортного контроля, осуществляемых» заменить словами «государственного контроля».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2. Единые типовые требования к оборудованию и материально- техническому оснащению зданий, помещений и сооружений, необходимых для организации пограничного, таможенного, санитарно- карантинного, ветеринарного, карантинного фитосанитарного и транспортного контроля, осуществляемых в пунктах пропуска через таможенную границу Евразийского экономического союза, утвержденные указанным Решением, изложить в следующей редакции:</w:t>
      </w:r>
    </w:p>
    <w:p w:rsidR="00E72AC7" w:rsidRPr="00DD1C44" w:rsidRDefault="00E72AC7" w:rsidP="00E72AC7">
      <w:pPr>
        <w:pStyle w:val="20"/>
        <w:shd w:val="clear" w:color="auto" w:fill="auto"/>
        <w:spacing w:before="0" w:after="120" w:line="240" w:lineRule="auto"/>
        <w:ind w:left="3969" w:right="60" w:firstLine="0"/>
        <w:jc w:val="center"/>
        <w:rPr>
          <w:rFonts w:ascii="Sylfaen" w:hAnsi="Sylfaen"/>
          <w:sz w:val="24"/>
          <w:szCs w:val="24"/>
        </w:rPr>
      </w:pP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left="3969" w:right="60"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«УТВЕРЖДЕНЫ</w:t>
      </w:r>
    </w:p>
    <w:p w:rsidR="00E72AC7" w:rsidRPr="00DD1C44" w:rsidRDefault="00E72AC7" w:rsidP="00E72AC7">
      <w:pPr>
        <w:pStyle w:val="20"/>
        <w:shd w:val="clear" w:color="auto" w:fill="auto"/>
        <w:spacing w:before="0" w:after="0" w:line="240" w:lineRule="auto"/>
        <w:ind w:left="3969" w:right="62"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Решением Комиссии Таможенного союза</w:t>
      </w:r>
    </w:p>
    <w:p w:rsidR="00E72AC7" w:rsidRPr="00DD1C44" w:rsidRDefault="00E72AC7" w:rsidP="00E72AC7">
      <w:pPr>
        <w:pStyle w:val="20"/>
        <w:shd w:val="clear" w:color="auto" w:fill="auto"/>
        <w:spacing w:before="0" w:after="0" w:line="240" w:lineRule="auto"/>
        <w:ind w:left="3969" w:right="62"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от 22 июня 2011 г. № 688 (в редакции Решения Совета Евразийской экономической комиссии</w:t>
      </w:r>
    </w:p>
    <w:p w:rsidR="00006614" w:rsidRPr="00DD1C44" w:rsidRDefault="00E72AC7" w:rsidP="00E72AC7">
      <w:pPr>
        <w:pStyle w:val="20"/>
        <w:shd w:val="clear" w:color="auto" w:fill="auto"/>
        <w:spacing w:before="0" w:after="120" w:line="240" w:lineRule="auto"/>
        <w:ind w:left="3969" w:right="60"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от 3 марта 2017 г. № 34)</w:t>
      </w:r>
    </w:p>
    <w:p w:rsidR="00E72AC7" w:rsidRPr="00DD1C44" w:rsidRDefault="00E72AC7" w:rsidP="00E72AC7">
      <w:pPr>
        <w:pStyle w:val="20"/>
        <w:shd w:val="clear" w:color="auto" w:fill="auto"/>
        <w:spacing w:before="0" w:after="120" w:line="240" w:lineRule="auto"/>
        <w:ind w:left="3969" w:right="60" w:firstLine="0"/>
        <w:jc w:val="center"/>
        <w:rPr>
          <w:rFonts w:ascii="Sylfaen" w:hAnsi="Sylfaen"/>
          <w:sz w:val="24"/>
          <w:szCs w:val="24"/>
        </w:rPr>
      </w:pPr>
    </w:p>
    <w:p w:rsidR="00E72AC7" w:rsidRPr="00DD1C44" w:rsidRDefault="00E72AC7" w:rsidP="00E72AC7">
      <w:pPr>
        <w:pStyle w:val="50"/>
        <w:shd w:val="clear" w:color="auto" w:fill="auto"/>
        <w:spacing w:line="240" w:lineRule="auto"/>
        <w:rPr>
          <w:rStyle w:val="52pt"/>
          <w:rFonts w:ascii="Sylfaen" w:hAnsi="Sylfaen"/>
          <w:b/>
          <w:bCs/>
          <w:spacing w:val="0"/>
          <w:sz w:val="24"/>
          <w:szCs w:val="24"/>
        </w:rPr>
      </w:pPr>
      <w:r w:rsidRPr="00E72AC7">
        <w:rPr>
          <w:rStyle w:val="52pt"/>
          <w:rFonts w:ascii="Sylfaen" w:hAnsi="Sylfaen"/>
          <w:b/>
          <w:bCs/>
          <w:spacing w:val="0"/>
          <w:sz w:val="24"/>
          <w:szCs w:val="24"/>
        </w:rPr>
        <w:t>ЕДИНЫЕ ТИПОВЫЕ ТРЕБОВАНИЯ</w:t>
      </w:r>
    </w:p>
    <w:p w:rsidR="00006614" w:rsidRPr="00E72AC7" w:rsidRDefault="00E72AC7" w:rsidP="00E72AC7">
      <w:pPr>
        <w:pStyle w:val="5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к оборудованию и материально-техническому оснащению зданий, помещений и сооружений, необходимых для организации государственного контроля в пунктах пропуска через таможенную границу Евразийского экономического союза</w:t>
      </w:r>
    </w:p>
    <w:p w:rsidR="00E72AC7" w:rsidRPr="00DD1C44" w:rsidRDefault="00E72AC7" w:rsidP="00E72AC7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left="20"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I. Общие положения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1. Настоящие Требования предназначены для использования органами исполнительной власти государств - членов Евразийского экономического союза (далее соответственно - государства-члены, Союз) при проектировании, строительстве (реконструкции) и материально-техническом оснащении пунктов пропуска через таможенную границу Союза.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2. Для целей настоящих Требований используются понятия, которые означают </w:t>
      </w:r>
      <w:r w:rsidRPr="00E72AC7">
        <w:rPr>
          <w:rFonts w:ascii="Sylfaen" w:hAnsi="Sylfaen"/>
          <w:sz w:val="24"/>
          <w:szCs w:val="24"/>
        </w:rPr>
        <w:lastRenderedPageBreak/>
        <w:t>следующее: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«контролирующие органы» - государственные органы государств-членов, уполномоченные в соответствии с законодательством своих государств на осуществление государственного контроля;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«государственный контроль» - деятельность должностных лиц контролирующих органов, осуществляемая в пунктах пропуска, по проведению таможенного, транспортного, санитарного, ветеринарно- санитарного, карантинного фитосанитарного контроля (надзора) в соответствии с международными договорами и актами, составляющими право Союза, а также пограничного контроля в соответствии с законодательством государств-членов;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«контрольные операции» - действия, осуществляемые контролирующими органами в целях обеспечения государственного контроля при перемещении лиц, транспортных средств и товаров на таможенную территорию Союза или с таможенной территории Союза;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«пункт пропуска» - пункт пропуска, установленный в соответствии с законодательством государств-членов для пропуска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 xml:space="preserve"> (пересечения, перемещения) через таможенную границу Союза лиц, транспортных средств и товаров;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«режим в пункте пропуска» - правила въезда в пункт пропуска, пребывания в нем и выезда из него лиц, транспортных средств и товаров, устанавливаемые законодательством государств-членов исключительно в целях создания необходимых условий для осуществления пограничного и таможенного контроля.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Иные понятия используются в настоящих Требованиях в значениях, определенных международными договорами и актами, составляющими право Союза.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3. Пункты пропуска проектируются и строятся (реконструируются) в соответствии с законодательством государств-членов как единые комплексы, призванные обеспечивать интенсивное прохождение через них грузовых и пассажирских потоков, эффективность проведения государственного контроля в отношении лиц, транспортных средств и товаров, следующих через таможенную границу Союза.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4. Пункты пропуска, в которых осуществляется санитарно- карантинный и карантинный фитосанитарный контроль (надзор), оборудуются и оснащаются в соответствии с требованиями, предусмотренными Решением Комиссии Таможенного союза от 28 мая 2010 г. № 299 и Решением Совета Евразийской экономической комиссии от 14 октября 2015 г. № 92, а пункты пропуска, в которых осуществляется ветеринарный контроль (надзор), - в соответствии с требованиями, предусмотренными законодательством государств- членов.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5. В пунктах пропуска создаются условия для обеспечения пропуска лиц с ограниченными физическими возможностями.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6. В пунктах пропуска могут создаваться отдельно выделенные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 xml:space="preserve">полосы (коридоры, направления) для пропуска лиц, транспортных средств и товаров </w:t>
      </w:r>
      <w:r w:rsidRPr="00E72AC7">
        <w:rPr>
          <w:rFonts w:ascii="Sylfaen" w:hAnsi="Sylfaen"/>
          <w:sz w:val="24"/>
          <w:szCs w:val="24"/>
        </w:rPr>
        <w:lastRenderedPageBreak/>
        <w:t>государств-членов.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 7. Сведения о контролирующих органах отражаются в Паспорте пункта пропуска через таможенную границу Евразийского экономического союза.</w:t>
      </w:r>
    </w:p>
    <w:p w:rsidR="00E72AC7" w:rsidRPr="00DD1C44" w:rsidRDefault="00E72AC7" w:rsidP="00E72AC7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right="1126"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II. Типовые требования к оборудованию и материально-техническому оснащению пунктов пропуска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8. Для проведения государственного контроля в пункте пропуска должны функционировать следующие технические системы: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паспортного (пограничного) контроля;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б) бесконтактного измерения температуры тела лиц;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в) обеспечения карантинного фитосанитарного контроля (надзора) и обеззараживания подкарантинной продукции;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г) очистки и дезинфекции транспортных средств;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д) обеспечения ветеринарного контроля (надзора);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е) определения весогабаритных параметров;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ж) осмотра (досмотра) лиц, багажа и ручной клади;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з) осмотра (досмотра) транспортных средств и товаров;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и) радиационного контроля;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к) сбора и уничтожения (утилизации) биологических отходов;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л) контроля и управления доступом и охранной сигнализации;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м) связи и информационных технологий;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н) телевизионного наблюдения (видеонаблюдения);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о) пожарной сигнализации;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п) инженерных средств охраны;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р) информационного взаимодействия;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с) резервного электропитания.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9. Система паспортного (пограничного) контроля предназначена для выполнения должностными лицами пограничных органов установленных процедур проверки оснований для пропуска лиц,  пересекающих государственную границу, и строится на основе применения информационных систем и технических средств пограничного контроля. При создании системы паспортного (пограничного) контроля предусматриваются: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возможность модификации приборов, аппаратуры и программного обеспечения для автоматической обработки паспортов и других паспортно-визовых документов, в том числе с биометрическими параметрами;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lastRenderedPageBreak/>
        <w:t>б) автоматический и ручной ввод информации, формирование баз данных из паспортно-визовых документов с применением программно- технических средств считывания графической информации, машиносчитываемой зоны, штрих-кода и микросхем, размещенных в паспортно-визовых документах;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в) проверка паспортно-визовых документов на соответствие действующим образцам, срока их действия и проверка по лимитам выданных паспортно-визовых документов;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г) проверка по контрольным спискам атрибутов паспортно- визовых документов;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д) обеспечение информационной безопасности;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е) формирование статистических отчетов по результатам пограничного контроля за произвольные промежутки времени.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10. Система бесконтактного измерения температуры тела лиц предназначена для дистанционного выявления лиц с повышенной температурой тела. Количество установленных приборов для дистанционного выявления лиц с повышенной температурой тела определяется плотностью пассажиропотоков и техническими характеристиками оборудования.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 11. Система обеспечения карантинного фитосанитарного контроля (надзора) и обеззараживания подкарантинной продукции состоит из технических средств и помещений, соответствующих требованиям к материально-техническому оснащению и обустройству пунктов по карантину растений (фитосанитарных контрольных постов), утвержденным Решением Совета Евразийской экономической комиссии от 14 октября 2015 г. № 92.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12. Система очистки и дезинфекции транспортных средств состоит из технических средств, обеспечивающих механическую очистку, мойку и обеззараживание транспортных средств, сбор поверхностных стоков специальных растворов для последующей их дезинфекции.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13. Система обеспечения ветеринарного контроля (надзора) предназначена для выполнения должностными лицами органов исполнительной власти государств-членов в области ветеринарии полномочий по осуществлению ветеринарного контроля (надзора).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Для обеспечения ветеринарного контроля (надзора) в пунктах пропуска в соответствии с законодательством государств-членов предусматривается оборудование: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для проведения осмотра (досмотра) товаров, подлежащих ветеринарному контролю (надзору);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для сбора, хранения и уничтожения товаров, не соответствующих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 июня 2010 г. № 317.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lastRenderedPageBreak/>
        <w:t>14. Система определения весогабаритных параметров состоит из комплекса технических средств, позволяющих производить измерения весовых параметров перемещаемых товаров, весовых и габаритных параметров грузовых автотранспортных средств, в том числе в автоматическом режиме с возможностью интеграции с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>информационными системами, используемыми контролирующими органами в пунктах пропуска.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15. Система осмотра (досмотра) лиц, багажа и ручной клади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>предназначена для проверки пассажиров и обслуживающего персонала транспортных средств в целях обнаружения запрещенных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>(ограниченных к перемещению) товаров, а также товаров, подлежащих письменному декларированию, и оборудуется рентгенотелевизионной и другой специальной аппаратурой.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16. Система осмотра (досмотра) транспортных средств и товаров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>предназначена для их контроля (проверки и идентификации), а также обнаружения запрещенных (ограниченных к перемещению) товаров и (или) товаров, не указанных в транспортных и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>товаросопроводительных документах, выявления лиц, укрытых в транспортных средствах, багаже и товарах, и может включать средства технического контроля различных модификаций, в том числе рентгенотелевизионные установки и инспекционно-досмотровые комплексы.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17. Система радиационного контроля предназначена для пресечения незаконного оборота делящихся и радиоактивных материалов путем выявления объектов (в том числе лиц) с повышенным уровнем ионизирующего излучения.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Система радиационного контроля состоит из стационарной и (или) переносной аппаратуры с детекторами гамма- и нейтронного излучения, радиометров-спектрометров и дозиметров, позволяющих обнаруживать и локализовать источники ионизирующего излучения, определять превышение уровня естественного радиационного фона, идентифицировать выявленный источник ионизирующего излучения и оценивать его уровень опасности.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 Стационарная аппаратура обнаружения делящихся и радиоактивных материалов должна обеспечивать автоматический круглосуточный режим работы с регистрацией и передачей видеоизображения объекта контроля в момент тревоги (превышения уровня естественного гамма- и нейтронного фона), отображение текущей и архивной информации о месте и времени срабатывания, данных об изменении скорости счета гамма- и нейтронного каналов, а также действий оператора при принятии решения по объекту контроля, вызвавшему сигнал тревоги.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18. Система сбора и уничтожения (утилизации) биологических отходов обеспечивает сбор, временное хранение (при невозможности хранения - транспортировку до места уничтожения (утилизации)) и уничтожение (утилизацию) товаров животного и растительного происхождения, выявленных в ручной клади, багаже физических лиц и почтовых отправлениях, а также в товарных партиях.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19. Система контроля и управления доступом и охранной сигнализации оборудуется совместно действующими техническими средствами и предназначена </w:t>
      </w:r>
      <w:r w:rsidRPr="00E72AC7">
        <w:rPr>
          <w:rFonts w:ascii="Sylfaen" w:hAnsi="Sylfaen"/>
          <w:sz w:val="24"/>
          <w:szCs w:val="24"/>
        </w:rPr>
        <w:lastRenderedPageBreak/>
        <w:t>для обнаружения несанкционированного проникновения (попытки проникновения) на территорию и в режимные зоны пункта пропуска, а также для сбора, обработки и передачи в заданном виде информации на рабочие места должностных лиц контролирующих органов.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20. Система связи и информационных технологий включает в себя информационно-телекоммуникационную инфраструктуру и предназначена для обеспечения должностных лиц контролирующих органов необходимой информацией, открытыми (внутренней, междугородней и международной) и специальными видами связи, обеспечивающими гарантированный уровень информационной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 xml:space="preserve"> безопасности при взаимодействии с контролирующими органами государств-членов и сторонними организациями, а также рабочие места с выходом в информационно-телекоммуникационную сеть «Интернет».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21. Система телевизионного наблюдения (видеонаблюдения) предназначена для обеспечения визуального контроля объектов (территории) пункта пропуска с помощью электронных средств наблюдения.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Система телевизионного наблюдения (видеонаблюдения) создается с применением телевизионных систем различных типов и должна обеспечивать возможность ведения наблюдения за объектами (территорией) пункта пропуска в режиме реального времени с сохранением данных.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Система телевизионного наблюдения (видеонаблюдения) при необходимости обеспечивает обнаружение потенциально опасных и противоправных действий в пункте пропуска и оповещение должностных лиц контролирующих органов о таких действиях.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Контролирующие органы в пункте пропуска могут использовать отдельные системы телевизионного наблюдения (видеонаблюдения) либо одну совместную.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22. Система пожарной сигнализации состоит из установок пожарной сигнализации и пожаротушения, смонтированных на объектах пункта пропуска, с использованием дымовых, температурных датчиков и других технических средств, устанавливаемых в помещениях, зданиях и сооружениях пункта пропуска.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Система пожарной сигнализации должна обеспечивать автоматическое обнаружение пожара, обработку, передачу в заданном виде извещения о пожаре за время, необходимое для включения систем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>оповещения о пожаре и установок пожаротушения, в целях организации ликвидации пожара и безопасной (с учетом допустимого пожарного риска) эвакуации людей из конкретного пункта пропуска.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23. Система инженерных средств охраны состоит из ограждений и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>постов охраны, а при необходимости оборудуется инженерными проволочными заграждениями, защитно-оборонительными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>сооружениями, инженерными заграждениями для ограничения скорости и остановки транспортных средств и наблюдательными вышками.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24. Система информационного взаимодействия представляет собой комплекс </w:t>
      </w:r>
      <w:r w:rsidRPr="00E72AC7">
        <w:rPr>
          <w:rFonts w:ascii="Sylfaen" w:hAnsi="Sylfaen"/>
          <w:sz w:val="24"/>
          <w:szCs w:val="24"/>
        </w:rPr>
        <w:lastRenderedPageBreak/>
        <w:t>информационно-технических средств и предназначена для обеспечения функционирования и взаимодействия контролирующих органов, доступа контролирующих органов к информации, необходимой для проведения государственного контроля.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25. Система резервного электропитания предназначена для обеспечения зданий, помещений, сооружений, оборудования пункта пропуска, технических средств контроля электропитанием при аварийном отключении системы электроснабжения и состоит из резервных источников электропитания.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26. Состав систем, необходимых для оснащения пункта пропуска, и количество оборудования, входящего в состав данных систем, определяются контролирующими органами на этапе проектирования пункта пропуска с учетом следующих особенностей: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вид международного сообщения;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б) специализация (в случае принятия государством-членом решения о специализации пунктов пропуска);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в) технологическая схема организации пропуска лиц, транспортных средств и товаров (проект);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 г) пропускная способность (интенсивность движения лиц, транспортных средств в сутки, час);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д) количество полос движения автотранспорта на въездном и выездном направлениях (для автомобильных (автодорожных) пунктов пропуска);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е) количество международных терминалов (для воздушных и морских пунктов пропуска);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ж) разделение потоков движения транспорта и лиц на въезд и выезд;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з) типы транспортных средств (легковые автотранспортные средства, грузовые автотранспортные средства, автобусы, морские (речные) суда, воздушные суда, пассажирские и грузовые составы) и пешеходные направления;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и) установленный режим в пункте пропуска;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к) территория и количество мест осмотра (досмотра) лиц, транспортных средств и товаров.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27. Перечень площадей и помещений пункта пропуска определяется контролирующими органами на этапе проектирования пункта пропуска. В пункте пропуска с учетом национальных нормативов обеспечения контролирующих органов площадями и помещениями предусматриваются: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рабочие места для проведения государственного контроля соответствующего вида;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б) служебные (специальные) помещения для должностных лиц контролирующих органов;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lastRenderedPageBreak/>
        <w:t>в) специальные места (стоянки, площадки, тупики, причалы) для проведения государственного контроля и санитарно- противоэпидемических мероприятий;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 г) помещения для проведения личного досмотра лиц;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д) залы (места) для пассажиров (лиц), необходимые для проведения государственного контроля, отвечающие санитарно- гигиеническим требованиям;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е) помещения для временной изоляции лиц с подозрением на инфекционные болезни;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ж) помещения для хранения оружия и боеприпасов к нему с местами для заряжания, разряжания и чистки оружия;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з) помещения для содержания задержанных лиц;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и) помещения для временно не пропущенных лиц;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к) помещения для размещения серверных, узлов связи;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л) помещения для хранения технических средств контроля;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м) помещения для приготовления, приема пищи и отдыха;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н) санитарно-бытовые помещения;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о) помещения (вольеры) для содержания служебных собак;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п) помещения для системы электропитания и резервного электропитания;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р) зал для официальных встреч;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с) помещения для проведения осмотра (досмотра) товаров, подлежащих ветеринарному контролю (надзору);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т) помещения (площадки) для карантинирования и передержки животных.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28. Площадь служебных помещений (комнат) или мест для размещения должностных лиц контролирующих органов рассчитывается в соответствии с актами, указанными в пункте 4 настоящих Требований, и законодательством государств-членов.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 29. В пунктах пропуска допускается совместное использование контролирующими органами систем, технических средств и помещений (залов, специальных мест).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30. Обустройство и материально-техническое оснащение зданий, помещений и сооружений пункта пропуска осуществляются с учетом следующих особенностей: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вид международного сообщения;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б) режим работы пункта пропуска;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в) пропускная способность (интенсивность движения лиц и транспортных средств в сутки, час);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г) установленный норматив времени проведения контрольных операций;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lastRenderedPageBreak/>
        <w:t>д) специальные требования к обустройству зданий, помещений и сооружений, определенные актами, указанными в пункте 4 настоящих Требований, и законодательством государств-членов;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е) установленный режим в пункте пропуска;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ж) наличие и состояние инженерно-технического оборудования;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з) ограждение и освещение территории и мест осмотра (досмотра) лиц, транспортных средств и товаров.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31. Определение мест расположения зданий, помещений, сооружений и технических средств в пункте пропуска осуществляется исходя из: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необходимости обеспечения безопасности государств-членов;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б) необходимости оптимизации и эффективности государственного контроля;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в) организации пропуска лиц, транспортных средств и товаров через таможенную границу Союза в соответствии с последовательностью осуществления контрольных операций и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 xml:space="preserve"> предусмотренной для пункта пропуска технологической схемы организации пропуска лиц, транспортных средств и товаров;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г) количества должностных лиц контролирующих органов, необходимого для осуществления государственного контроля;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д) рационального использования технических средств контроля и внедрения современных технологий при проведении государственного контроля;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е) транспортной инфраструктуры и перспектив ее развития.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32. Рабочие места должностных лиц контролирующих органов в пункте пропуска должны обеспечивать: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безопасные условия труда (безопасное несение службы);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б) эффективное осуществление государственного контроля;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в) соблюдение требований к работе размещаемого оборудования;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г) соблюдение требований, установленных санитарными нормами и правилами в отношении условий труда;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д) функционирование средств проводной и радиосвязи, ведомственной системы связи;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е) эксплуатацию и хранение технических средств.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33. При оборудовании и техническом оснащении пунктов пропуска должно предусматриваться применение современного оборудования, обеспечивающего выполнение решаемых контролирующими органами задач.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34. Территория пункта пропуска оборудуется по периметру ограждением и освещением.</w:t>
      </w:r>
    </w:p>
    <w:p w:rsidR="00006614" w:rsidRPr="00DD1C44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Места проведения контрольных операций в пункте пропуска должны </w:t>
      </w:r>
      <w:r w:rsidRPr="00E72AC7">
        <w:rPr>
          <w:rFonts w:ascii="Sylfaen" w:hAnsi="Sylfaen"/>
          <w:sz w:val="24"/>
          <w:szCs w:val="24"/>
        </w:rPr>
        <w:lastRenderedPageBreak/>
        <w:t>оборудоваться освещением для обеспечения возможности совершения таких операций.</w:t>
      </w:r>
    </w:p>
    <w:p w:rsidR="00013972" w:rsidRPr="00DD1C44" w:rsidRDefault="00013972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III. Типовые требования к оборудованию и материально-техническому оснащению автомобильных (автодорожных) пунктов пропуска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35. В автомобильных (автодорожных) пунктах пропуска (далее- АПП) предусматриваются системы, указанные в пункте 8 настоящих Требований, площади и помещения, указанные в пункте 27 настоящих Требований.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36. АПП строятся в непосредственной близости от таможенной границы Союза исходя из развития инфраструктуры. При этом создаются условия для исключения объезда пунктов пропуска автотранспортными средствами.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 зависимости от условий рельефа местности АПП могут строиться на удалении от таможенной границы Союза.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37. Размеры территории АПП определяются в зависимости от: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порядка его функционирования;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б) интенсивности движения автотранспортных средств и лиц;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в) установленного норматива времени проведения контрольных операций;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г) специализации (в случае принятия государством-членом решения о специализации пунктов пропуска);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д) специфики и видов перемещаемых подконтрольных (поднадзорных) товаров;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е) разделения потоков автотранспортных средств и лиц на въезд и выезд по типам автотранспортных средств (легковые, грузовые, автобусы) и пешеходным направлениям;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ж) обеспечения режима в пункте пропуска, размещения мест осмотра (досмотра) лиц, автотранспортных средств и товаров;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з) условий рельефа местности с учетом развития инфраструктуры данной местности в перспективе.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 38. Инфраструктура АПП и их территориальное устройство должны обеспечивать: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раздельное проведение государственного контроля лиц и автотранспортных средств независимо друг от друга в двух направлениях движения (въезд и выезд);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б) возможность вывода лиц и отдельных автотранспортных средств из общего потока с целью осуществления государственного контроля без создания помех основному потоку лиц и автотранспортных средств;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в) выполнение требований режима в пункте пропуска;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г) наличие полос движения для автотранспортных средств, перевозящих негабаритные, тяжеловесные, опасные и иные специальные грузы (резервных полос </w:t>
      </w:r>
      <w:r w:rsidRPr="00E72AC7">
        <w:rPr>
          <w:rFonts w:ascii="Sylfaen" w:hAnsi="Sylfaen"/>
          <w:sz w:val="24"/>
          <w:szCs w:val="24"/>
        </w:rPr>
        <w:lastRenderedPageBreak/>
        <w:t>движения).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39. С целью исключения доступа посторонних лиц к местам совершения контрольных операций в отношении автотранспортных средств места стоянок и площадки для осмотра оборудуются ограждением и освещением.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 местах осуществления государственного контроля, в том числе на полосах движения автотранспортных средств, оборудуются рабочие места для проведения контрольных операций.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40. Количество рабочих мест для размещения должностных лиц контролирующих органов, полос движения и площадок для осмотра (досмотра) определяется в зависимости от интенсивности движения автотранспортных средств и лиц, а также от специализации пункта пропуска.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41. АПП при необходимости оснащаются автоматизированной системой электронного учета автотранспортных средств, которая обеспечивает считывание государственных регистрационных знаков,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 xml:space="preserve"> хранение информации и использование ее при проведении государственного контроля.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42. АПП при необходимости оснащаются автоматизированной системой управления пропуском автотранспортных средств, которая предназначена для автоматизации управления транспортными потоками в пункте пропуска (включая въезд, выезд и движение по территории пункта пропуска).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43. АПП оснащаются системой определения весогабаритных параметров автотранспортных средств, которая включает в себя комплексы автоматизированного определения весовых параметров грузовых автотранспортных средств (автомобильные весы различных типов), автоматизированные комплексы и технические средства определения габаритных размеров грузовых автотранспортных средств.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Система определения весогабаритных параметров должна обеспечивать определение общей массы и осевых нагрузок (поосное взвешивание), а также габаритных размеров автотранспортного средства.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44. Места (площадки) для контроля автотранспортных средств на полосах движения, за исключением предназначенных для контроля автотранспортных средств, перевозящих негабаритный груз, оборудуются навесами для защиты от атмосферных осадков.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45. В АПП для проведения осмотра (досмотра) автотранспортных средств предусматриваются: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боксы для досмотра автотранспортных средств, оборудованные подъемниками, техническими средствами и другими приспособлениями для досмотра;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б) рабочие места для должностных лиц контролирующих органов;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 в) складские помещения, предназначенные для хранения товаров, в том числе </w:t>
      </w:r>
      <w:r w:rsidRPr="00E72AC7">
        <w:rPr>
          <w:rFonts w:ascii="Sylfaen" w:hAnsi="Sylfaen"/>
          <w:sz w:val="24"/>
          <w:szCs w:val="24"/>
        </w:rPr>
        <w:lastRenderedPageBreak/>
        <w:t>оборудованные при необходимости холодильными камерами;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г) стоянки для задержанных (временно не пропущенных) автотранспортных средств.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46. Транспортная инфраструктура АПП строится исходя из перспектив развития пункта пропуска и обеспечения пропуска максимального количества автотранспортных средств в период временного (сезонного) увеличения потока автотранспортных средств с учетом возможности изменения направления движения автотранспортных средств (реверсивное движение).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47. Проезжие части автодорожных подходов к АПП должны иметь достаточную ширину и обеспечивать условия перестроения автотранспортных средств до въезда на территорию АПП.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48. На подъездах к АПП и на их территории обеспечивается управление движением автотранспортных средств и пешеходов путем использования дорожной разметки, дорожных знаков, светофоров, других технических средств организации дорожного движения, а также указателей направления движения.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49. В целях недопущения возможности несанкционированного убытия автотранспортного средства за пределы АПП в пунктах пропуска создается система принудительной остановки автотранспортных средств, состоящая из специальных средств, заградительных барьеров и других устройств.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50. В АПП могут предусматриваться инспекционно-досмотровые комплексы для таможенного осмотра товаров и автотранспортных средств (далее - ИДК). Необходимость размещения ИДК в АПП определяется государствами-членами.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 51. При наличии в АПП пешеходного движения (терминала пропуска лиц, пересекающих таможенную границу Союза в пешем порядке) оснащение таких АПП должно соответствовать требованиям, предусмотренным разделом VIII настоящих Требований.</w:t>
      </w:r>
    </w:p>
    <w:p w:rsidR="00013972" w:rsidRPr="00DD1C44" w:rsidRDefault="00013972" w:rsidP="00E72AC7">
      <w:pPr>
        <w:pStyle w:val="20"/>
        <w:shd w:val="clear" w:color="auto" w:fill="auto"/>
        <w:spacing w:before="0" w:after="120" w:line="240" w:lineRule="auto"/>
        <w:ind w:left="940" w:hanging="780"/>
        <w:jc w:val="left"/>
        <w:rPr>
          <w:rFonts w:ascii="Sylfaen" w:hAnsi="Sylfaen"/>
          <w:sz w:val="24"/>
          <w:szCs w:val="24"/>
        </w:rPr>
      </w:pP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IV. Типовые требования к оборудованию и материально-техническому оснащению морского, речного (озерного) пункта пропуска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52. В морских, речных (озерных) пунктах пропуска (далее - МПП) предусматриваются системы, указанные в пункте 8 настоящих Требований, площади и помещения, указанные в пункте 27 настоящих Требований.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53. При наличии в МПП участка перегрузки (разгрузки) товаров с морского на автомобильный (железнодорожный) транспорт и наоборот на его территории могут находиться площадки (стоянки) для: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накопления партий товаров и осуществления государственного контроля автотранспорта (железнодорожных вагонов) при их убытии с таможенной территории Союза;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б) накопления партий товаров и осуществления государственного контроля </w:t>
      </w:r>
      <w:r w:rsidRPr="00E72AC7">
        <w:rPr>
          <w:rFonts w:ascii="Sylfaen" w:hAnsi="Sylfaen"/>
          <w:sz w:val="24"/>
          <w:szCs w:val="24"/>
        </w:rPr>
        <w:lastRenderedPageBreak/>
        <w:t>автотранспорта (железнодорожных вагонов) при их прибытии на таможенную территорию Союза;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в) хранения изъятых товаров и задержанных транспортных средств.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54. МПП при необходимости оборудуются площадками (стоянками) и специальными зданиями (сооружениями) для осуществления государственного контроля автотранспортных средств и железнодорожных транспортных средств, прибывших своим ходом в пункт пропуска, при их убытии с таможенной территории Союза морским транспортом, а также для осуществления государственного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 xml:space="preserve"> контроля автотранспортных средств и железнодорожных транспортных средств, убывающих своим ходом из пункта пропуска, при их прибытии на таможенную территорию Союза морским транспортом.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55. МПП при необходимости оборудуются: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боксами досмотра автотранспортных средств (количество боксов определяется расчетами при проектировании в зависимости от интенсивности движения транспортных средств), а также средствами малой механизации и эстакадами;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б) системой электронного учета автотранспортных средств;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в) системой определения весогабаритных параметров автотранспортных средств;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г) автоматизированной системой управления пропуском автотранспортных средств;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д) системой очистки и дезинфекции автотранспортных средств.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56. В МПП могут применяться ИДК для таможенного осмотра товаров, контейнеров и автотранспортных средств. Необходимость размещения ИДК в МПП определяется государствами-членами.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57. Конкретный состав помещений, необходимых для организации государственного контроля в МПП, определяется на этапе проектирования с учетом планируемой пропускной способности и схемы организации государственного контроля товаров и транспортных средств, специализации, возможного увеличения в перспективе пассажиро- и грузопотоков через МПП.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58. Помещения и сооружения, необходимые для осуществления государственного контроля лиц и перемещаемых ими товаров, включают в себя залы для проведения государственного контроля, места стоянки пассажирских судов (причалы), служебные и специальные помещения, а также места стоянки автобусов и легковых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>автотранспортных средств, переходы для перемещения лиц от мест стоянки автотранспортных средств и пассажирских судов к залам для проведения государственного контроля.</w:t>
      </w:r>
    </w:p>
    <w:p w:rsidR="00013972" w:rsidRPr="00DD1C44" w:rsidRDefault="00013972" w:rsidP="00E72AC7">
      <w:pPr>
        <w:pStyle w:val="20"/>
        <w:shd w:val="clear" w:color="auto" w:fill="auto"/>
        <w:spacing w:before="0" w:after="120" w:line="240" w:lineRule="auto"/>
        <w:ind w:left="180" w:firstLine="0"/>
        <w:rPr>
          <w:rFonts w:ascii="Sylfaen" w:hAnsi="Sylfaen"/>
          <w:sz w:val="24"/>
          <w:szCs w:val="24"/>
        </w:rPr>
      </w:pPr>
    </w:p>
    <w:p w:rsidR="00013972" w:rsidRPr="00DD1C44" w:rsidRDefault="00013972" w:rsidP="00E72AC7">
      <w:pPr>
        <w:pStyle w:val="20"/>
        <w:shd w:val="clear" w:color="auto" w:fill="auto"/>
        <w:spacing w:before="0" w:after="120" w:line="240" w:lineRule="auto"/>
        <w:ind w:left="180" w:firstLine="0"/>
        <w:rPr>
          <w:rFonts w:ascii="Sylfaen" w:hAnsi="Sylfaen"/>
          <w:sz w:val="24"/>
          <w:szCs w:val="24"/>
        </w:rPr>
      </w:pP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lastRenderedPageBreak/>
        <w:t>V. Типовые требования к оборудованию и материально-техническому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>оснащению смешанных пунктов пропуска</w:t>
      </w:r>
    </w:p>
    <w:p w:rsidR="00006614" w:rsidRPr="00E72AC7" w:rsidRDefault="00E72AC7" w:rsidP="00013972">
      <w:pPr>
        <w:pStyle w:val="20"/>
        <w:shd w:val="clear" w:color="auto" w:fill="auto"/>
        <w:tabs>
          <w:tab w:val="left" w:pos="56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59. В случае осуществления через пункт пропуска в зимнее время автомобильного международного сообщения, а в летнее время - речного (озерного) международного сообщения такой пункт пропуска является смешанным и должен отвечать требованиям к обустройству и материально-техническому оснащению как АПП (раздел III настоящих Требований), так и МПП (раздел IV настоящих Требований).</w:t>
      </w:r>
    </w:p>
    <w:p w:rsidR="00013972" w:rsidRPr="00DD1C44" w:rsidRDefault="00013972" w:rsidP="00E72AC7">
      <w:pPr>
        <w:pStyle w:val="20"/>
        <w:shd w:val="clear" w:color="auto" w:fill="auto"/>
        <w:spacing w:before="0" w:after="120" w:line="240" w:lineRule="auto"/>
        <w:ind w:left="180" w:firstLine="0"/>
        <w:rPr>
          <w:rFonts w:ascii="Sylfaen" w:hAnsi="Sylfaen"/>
          <w:sz w:val="24"/>
          <w:szCs w:val="24"/>
        </w:rPr>
      </w:pP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VI. Типовые требования к оборудованию и материально-техническому</w:t>
      </w:r>
      <w:r w:rsidR="00013972" w:rsidRPr="00013972">
        <w:rPr>
          <w:rFonts w:ascii="Sylfaen" w:hAnsi="Sylfaen"/>
          <w:sz w:val="24"/>
          <w:szCs w:val="24"/>
        </w:rPr>
        <w:t xml:space="preserve"> </w:t>
      </w:r>
      <w:r w:rsidRPr="00E72AC7">
        <w:rPr>
          <w:rFonts w:ascii="Sylfaen" w:hAnsi="Sylfaen"/>
          <w:sz w:val="24"/>
          <w:szCs w:val="24"/>
        </w:rPr>
        <w:t>оснащению железнодорожных пунктов пропуска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60. В железнодорожных пунктах пропуска (далее - ЖДПП) предусматриваются системы, указанные в пункте 8 настоящих Требований, площади и помещения, указанные в пункте 27 настоящих Требований.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61. Помещения и сооружения ЖДПП, необходимые для проведения осмотра железнодорожного подвижного состава, включают в себя: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площадки для осмотра грузового и пассажирского железнодорожного подвижного состава (грузовой и пассажирский парки);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б) железнодорожные пути, которые по возможности размещаются на прямом участке с нулевым уклоном с учетом размещения на них железнодорожного подвижного состава максимальной длины;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 в) переходные мостики на въезде и выезде с площадками с ограждением, прожекторами и кабинами для ведения наблюдения и осмотра составов сверху со спусками в междупутье;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г) эстакады для осмотра грузовых вагонов (вместо эстакад допускается использование системы телевизионного наблюдения (видеонаблюдения));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д) высокие платформы (при этом должны обеспечиваться доступ контролирующих органов к аккумуляторным ящикам и возможность осмотра подвагонного пространства состава);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е) досмотровые колодцы для осмотра составов снизу (оборудуются вблизи переходных мостиков с двух сторон железнодорожных путей) (вместо досмотровых колодцев для осмотра составов снизу допускается использование межрельсовых телекамер с подсветкой, выполненных в защищенном исполнении).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62. В ЖДПП могут предусматриваться ИДК для таможенного осмотра товаров и железнодорожных вагонов (составов). Необходимость размещения ИДК в ЖДПП определяется государствами-членами.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63. Помещения и сооружения ЖДПП, необходимые для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>осуществления государственного контроля пассажиров и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 xml:space="preserve">перемещаемых ими товаров, включают в себя залы для проведения государственного контроля, места стоянки пассажирских </w:t>
      </w:r>
      <w:r w:rsidRPr="00E72AC7">
        <w:rPr>
          <w:rFonts w:ascii="Sylfaen" w:hAnsi="Sylfaen"/>
          <w:sz w:val="24"/>
          <w:szCs w:val="24"/>
        </w:rPr>
        <w:lastRenderedPageBreak/>
        <w:t>составов, подземные и (или) наземные переходы через пути для перемещения лиц от мест стоянки пассажирского состава к залам для проведения государственного контроля, багажное отделение, служебные и специальные помещения.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64. Помещения для проведения государственного контроля должны размещаться в здании вокзала и состоять из залов для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 проведения государственного контроля въезжающих на таможенную территорию Союза (выезжающих с таможенной территории Союза) пассажиров и перемещаемых ими товаров. Залы для проведения государственного контроля должны быть оборудованы необходимым количеством рабочих мест для должностных лиц контролирующих органов.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Допускается совмещение в одном зале проведения государственного контроля как въезжающих на таможенную территорию Союза, так и выезжающих с таможенной территории Союза пассажиров и перемещаемых ими товаров.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65. Рядом с местом стоянки багажных вагонов должно быть предусмотрено размещение крытой площадки для выгрузки багажа.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66. Багажное отделение должно располагаться в здании вокзала или в непосредственной близости от него. Помещение багажного отделения должно предусматривать наличие отдельных досмотровых залов для осмотра (досмотра) выдаваемого багажа и багажа, принятого к перевозке, а также складского помещения для хранения багажа.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67. Помещения и сооружения ЖДПП, необходимые для досмотра товаров и транспортных средств, перемещаемых железнодорожным транспортом, включают в себя помещения и досмотровые площадки, эстакады, склады для размещения, хранения и досмотра товаров и транспортных средств, перемещаемых через таможенную границу Союза железнодорожным транспортом, а также помещения для размещения должностных лиц контролирующих органов.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Места стоянки железнодорожных вагонов (досмотровые площадки) должны быть оборудованы перронами и платформами, обеспечивающими возможность въезда на них погрузочно- разгрузочных механизмов для досмотра железнодорожных вагонов.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 68. Площадки для осмотра грузовых железнодорожных составов (грузовой парк) располагаются таким образом, чтобы все виды государственного контроля осуществлялись непосредственно на железнодорожных путях, а при необходимости проведения контрольных операций в отношении отдельных вагонов обеспечивалась возможность их вывода из грузового железнодорожного состава.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69. Исходя из интенсивности движения транспортных средств через ЖДПП и его специализации грузовой и пассажирский парки должны обеспечивать возможность проведения контроля одновременно нескольких железнодорожных грузовых и пассажирских составов.</w:t>
      </w:r>
    </w:p>
    <w:p w:rsidR="00013972" w:rsidRPr="00DD1C44" w:rsidRDefault="00013972" w:rsidP="00E72AC7">
      <w:pPr>
        <w:pStyle w:val="20"/>
        <w:shd w:val="clear" w:color="auto" w:fill="auto"/>
        <w:spacing w:before="0" w:after="120" w:line="240" w:lineRule="auto"/>
        <w:ind w:left="2040" w:hanging="2040"/>
        <w:jc w:val="left"/>
        <w:rPr>
          <w:rFonts w:ascii="Sylfaen" w:hAnsi="Sylfaen"/>
          <w:sz w:val="24"/>
          <w:szCs w:val="24"/>
        </w:rPr>
      </w:pP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lastRenderedPageBreak/>
        <w:t>VII. Типовые требования к оборудованию и материально-техническому оснащению воздушных пунктов пропуска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70. В воздушных пунктах пропуска (далее - ВПП) предусматриваются системы, указанные в пункте 8 настоящих Требований, площади и помещения, указанные в пункте 27 настоящих Требований.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71. Площадки для осуществления государственного контроля воздушных транспортных средств в ВПП должны включать в себя стоянки пассажирских и грузовых воздушных судов.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72. Помещения и сооружения ВПП, необходимые для осуществления государственного контроля товаров и лиц, включают в себя залы для проведения государственного контроля, места стоянки воздушных судов, специальных передвижных средств (автобусов, телескопических трапов и т. п.) и пешеходные переходы на территории международного аэропорта (аэродрома) для перемещения лиц и товаров от мест стоянки воздушного судна к залам для проведения государственного контроля, залам для официальных лиц и</w:t>
      </w:r>
      <w:r w:rsidRPr="00E72AC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AC7">
        <w:rPr>
          <w:rFonts w:ascii="Sylfaen" w:hAnsi="Sylfaen"/>
          <w:sz w:val="24"/>
          <w:szCs w:val="24"/>
        </w:rPr>
        <w:t xml:space="preserve"> делегаций, багажным отделениям, служебным и специальным помещениям.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73. В ВПП могут применяться ИДК для таможенного осмотра товаров, контейнеров и автотранспортных средств. Необходимость размещения ИДК в ВПП определяется государствами-членами.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74. В ВПП для проведения таможенного контроля в отношении товаров для личного пользования, нс подлежащих таможенному декларированию, перемещаемых физическим лицом в сопровождаемом багаже, зарегистрированном в аэропорту отправления на таможенной территории Союза (за пределами таможенной территории Союза) и принятом авиаперевозчиком к воздушной перевозке до аэропорта назначения за пределами таможенной территории Союза (на таможенной территории Союза) с промежуточной посадкой в международном аэропорту, являющемся местом убытия с таможенной территории Союза или местом прибытия на таможенную территорию Союза (далее - трансферный багаж), дополнительно предусматриваются: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следующие системы (в том числе автоматизированные системы, которые применяются в зависимости от интенсивности движения лиц, а также исходя из необходимости обеспечения условий для проведения таможенного контроля):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система обработки трансферного багажа, обеспечивающая: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возможность проведения радиационного контроля и таможенного контроля в форме таможенного осмотра с применением технических средств;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идентификацию трансферного багажа при проведении таможенного контроля в форме таможенного осмотра с применением технических средств;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возможность отделения трансферного багажа, при таможенном осмотре которого таможенным органом выявлены признаки, указывающие на возможное наличие в нем товаров, подлежащих таможенному декларированию, доставки такого </w:t>
      </w:r>
      <w:r w:rsidRPr="00E72AC7">
        <w:rPr>
          <w:rFonts w:ascii="Sylfaen" w:hAnsi="Sylfaen"/>
          <w:sz w:val="24"/>
          <w:szCs w:val="24"/>
        </w:rPr>
        <w:lastRenderedPageBreak/>
        <w:t>багажа в помещение для проведения таможенного досмотра и обратной доставки трансферного багажа в систему обработки багажа;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исключение перемещения трансферного багажа без его предъявления для проведения таможенного контроля с возможностью при необходимости фиксации с применением технических средств факта проведения таможенного контроля;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система поиска, идентификации и доставки трансферного багажа в место проведения таможенного контроля;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система поиска физического лица, которому принадлежит трансферный багаж;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б) помещение для проведения таможенного досмотра, оснащенное следующим оборудованием: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рентгенотелевизионная установка;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оборудование, позволяющее считывать информацию с номерной багажной бирки;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оборудование, обеспечивающее доступ к информационным системам, содержащим сведения о физических лицах и их трансферном багаже, а также сведения о трансферном багаже, фактически доставленном в систему обработки багажа.</w:t>
      </w:r>
    </w:p>
    <w:p w:rsidR="00013972" w:rsidRPr="00DD1C44" w:rsidRDefault="00013972" w:rsidP="00E72AC7">
      <w:pPr>
        <w:pStyle w:val="20"/>
        <w:shd w:val="clear" w:color="auto" w:fill="auto"/>
        <w:spacing w:before="0" w:after="120" w:line="240" w:lineRule="auto"/>
        <w:ind w:left="2000" w:hanging="2000"/>
        <w:jc w:val="left"/>
        <w:rPr>
          <w:rFonts w:ascii="Sylfaen" w:hAnsi="Sylfaen"/>
          <w:sz w:val="24"/>
          <w:szCs w:val="24"/>
        </w:rPr>
      </w:pP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VIII. Типовые требования к оборудованию и материально-техническому оснащению пешеходных пунктов пропуска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75. В пешеходных пунктах пропуска (далее - ППП) предусматриваются системы, указанные в пункте 8 настоящих Требований, площади и помещения, указанные в пункте 27 настоящих Требований.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76. Для организации государственного контроля в ППП должно быть предусмотрено оборудование и техническое оснащение следующих помещений и сооружений: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помещения для должностных лиц контролирующих органов;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б) помещения и сооружения (площадки) с оборудованными рабочими местами должностных лиц контролирующих органов, предназначенные для осуществления государственного контроля товаров, проведения осмотра (досмотра) товаров, личного досмотра лиц;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в) отдельные отгороженные и оборудованные навесами проходы (полосы движения) для лиц, пересекающих границу в пешем порядке.</w:t>
      </w:r>
    </w:p>
    <w:p w:rsidR="00013972" w:rsidRPr="00DD1C44" w:rsidRDefault="00013972" w:rsidP="00E72AC7">
      <w:pPr>
        <w:pStyle w:val="20"/>
        <w:shd w:val="clear" w:color="auto" w:fill="auto"/>
        <w:spacing w:before="0" w:after="120" w:line="240" w:lineRule="auto"/>
        <w:ind w:left="780" w:right="760" w:firstLine="0"/>
        <w:jc w:val="left"/>
        <w:rPr>
          <w:rFonts w:ascii="Sylfaen" w:hAnsi="Sylfaen"/>
          <w:sz w:val="24"/>
          <w:szCs w:val="24"/>
        </w:rPr>
      </w:pP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IX. Требования к оборудованию и материально-техническому оснащению модульного (мобильного) комплекса для пункта пропуска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77. Модульный (мобильный) комплекс представляет собой набор блок-</w:t>
      </w:r>
      <w:r w:rsidRPr="00E72AC7">
        <w:rPr>
          <w:rFonts w:ascii="Sylfaen" w:hAnsi="Sylfaen"/>
          <w:sz w:val="24"/>
          <w:szCs w:val="24"/>
        </w:rPr>
        <w:lastRenderedPageBreak/>
        <w:t>модулей, предназначенных для осуществления государственного контроля.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78. Модульный (мобильный) комплекс может размещаться: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во временном, сезонном или функционирующем на нерегулярной основе пункте пропуска;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б) в пункте пропуска, предназначенном для перемещения лиц, транспортных средств и товаров при проведении международных мероприятий в течение определенного срока, в целях увеличения пропускной способности пункта пропуска на время проведения таких мероприятий;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 xml:space="preserve"> в) в пункте пропуска для организации государственного контроля на период (до завершения) строительства, реконструкции и открытия его в установленном порядке;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г) в МПП при обустройстве удаленных терминалов.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79. Оборудование и техническое оснащение модульного (мобильного) комплекса для пункта пропуска включают в себя: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а) комплект оборудования, технических средств и систем контроля, необходимый для организации государственного контроля;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б) служебные, специальные и бытовые помещения на базе блок- модуля или набора блок-модулей, необходимые для организации работы и отдыха должностных лиц контролирующих органов;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в) помещения для пребывания лиц, пересекающих таможенную границу Союза.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80. Модульный (мобильный) комплекс доставляется, развертывается и устанавливается в пункте пропуска, а при необходимости демонтируется и перебазируется в другой пункт пропуска.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81. При формировании набора блок-модулей учитываются пропускная способность пункта пропуска, климатические условия, вид международного сообщения и технологическая схема организации пропуска лиц, транспортных средств и товаров.».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3. Форму Паспорта пункта пропуска через таможенную границу Евразийского экономического союза, утвержденную указанным Решением, изложить в следующей редакции: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«УТВЕРЖДЕНА</w:t>
      </w:r>
    </w:p>
    <w:p w:rsidR="00013972" w:rsidRPr="00013972" w:rsidRDefault="00E72AC7" w:rsidP="00013972">
      <w:pPr>
        <w:pStyle w:val="20"/>
        <w:shd w:val="clear" w:color="auto" w:fill="auto"/>
        <w:spacing w:before="0" w:after="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Реше</w:t>
      </w:r>
      <w:r w:rsidR="00013972">
        <w:rPr>
          <w:rFonts w:ascii="Sylfaen" w:hAnsi="Sylfaen"/>
          <w:sz w:val="24"/>
          <w:szCs w:val="24"/>
        </w:rPr>
        <w:t>нием Комиссии Таможенного союза</w:t>
      </w:r>
    </w:p>
    <w:p w:rsidR="00013972" w:rsidRPr="00013972" w:rsidRDefault="00E72AC7" w:rsidP="00013972">
      <w:pPr>
        <w:pStyle w:val="20"/>
        <w:shd w:val="clear" w:color="auto" w:fill="auto"/>
        <w:spacing w:before="0" w:after="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от 22 июня 2011 г. № 688 (в редакции Решения Совета Евр</w:t>
      </w:r>
      <w:r w:rsidR="00013972">
        <w:rPr>
          <w:rFonts w:ascii="Sylfaen" w:hAnsi="Sylfaen"/>
          <w:sz w:val="24"/>
          <w:szCs w:val="24"/>
        </w:rPr>
        <w:t>азийской экономической комиссии</w:t>
      </w:r>
    </w:p>
    <w:p w:rsidR="00006614" w:rsidRPr="00E72AC7" w:rsidRDefault="00E72AC7" w:rsidP="00013972">
      <w:pPr>
        <w:pStyle w:val="20"/>
        <w:shd w:val="clear" w:color="auto" w:fill="auto"/>
        <w:spacing w:before="0" w:after="120" w:line="240" w:lineRule="auto"/>
        <w:ind w:left="3969"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от 3 марта 2017 г. № 34)</w:t>
      </w:r>
    </w:p>
    <w:p w:rsidR="00013972" w:rsidRPr="00DD1C44" w:rsidRDefault="00013972" w:rsidP="00E72AC7">
      <w:pPr>
        <w:pStyle w:val="50"/>
        <w:shd w:val="clear" w:color="auto" w:fill="auto"/>
        <w:spacing w:line="240" w:lineRule="auto"/>
        <w:ind w:right="140"/>
        <w:rPr>
          <w:rStyle w:val="52pt0"/>
          <w:rFonts w:ascii="Sylfaen" w:hAnsi="Sylfaen"/>
          <w:b/>
          <w:bCs/>
          <w:spacing w:val="0"/>
          <w:sz w:val="24"/>
          <w:szCs w:val="24"/>
        </w:rPr>
      </w:pPr>
    </w:p>
    <w:p w:rsidR="00013972" w:rsidRPr="00DD1C44" w:rsidRDefault="00013972" w:rsidP="00E72AC7">
      <w:pPr>
        <w:pStyle w:val="50"/>
        <w:shd w:val="clear" w:color="auto" w:fill="auto"/>
        <w:spacing w:line="240" w:lineRule="auto"/>
        <w:ind w:right="140"/>
        <w:rPr>
          <w:rStyle w:val="52pt0"/>
          <w:rFonts w:ascii="Sylfaen" w:hAnsi="Sylfaen"/>
          <w:b/>
          <w:bCs/>
          <w:spacing w:val="0"/>
          <w:sz w:val="24"/>
          <w:szCs w:val="24"/>
        </w:rPr>
      </w:pPr>
    </w:p>
    <w:p w:rsidR="00006614" w:rsidRPr="00E72AC7" w:rsidRDefault="00E72AC7" w:rsidP="00013972">
      <w:pPr>
        <w:pStyle w:val="5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E72AC7">
        <w:rPr>
          <w:rStyle w:val="52pt0"/>
          <w:rFonts w:ascii="Sylfaen" w:hAnsi="Sylfaen"/>
          <w:b/>
          <w:bCs/>
          <w:spacing w:val="0"/>
          <w:sz w:val="24"/>
          <w:szCs w:val="24"/>
        </w:rPr>
        <w:lastRenderedPageBreak/>
        <w:t>ФОРМА</w:t>
      </w:r>
    </w:p>
    <w:p w:rsidR="00006614" w:rsidRPr="00E72AC7" w:rsidRDefault="00E72AC7" w:rsidP="00013972">
      <w:pPr>
        <w:pStyle w:val="5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паспорта пункта пропуска через таможенную границу Евразийского экономического союза</w:t>
      </w:r>
    </w:p>
    <w:p w:rsidR="00013972" w:rsidRPr="00DD1C44" w:rsidRDefault="00013972" w:rsidP="00E72AC7">
      <w:pPr>
        <w:pStyle w:val="20"/>
        <w:shd w:val="clear" w:color="auto" w:fill="auto"/>
        <w:spacing w:before="0" w:after="120" w:line="240" w:lineRule="auto"/>
        <w:ind w:right="140" w:firstLine="0"/>
        <w:jc w:val="center"/>
        <w:rPr>
          <w:rStyle w:val="22pt0"/>
          <w:rFonts w:ascii="Sylfaen" w:hAnsi="Sylfaen"/>
          <w:spacing w:val="0"/>
          <w:sz w:val="24"/>
          <w:szCs w:val="24"/>
        </w:rPr>
      </w:pP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right="140" w:firstLine="0"/>
        <w:jc w:val="center"/>
        <w:rPr>
          <w:rFonts w:ascii="Sylfaen" w:hAnsi="Sylfaen"/>
          <w:sz w:val="24"/>
          <w:szCs w:val="24"/>
        </w:rPr>
      </w:pPr>
      <w:r w:rsidRPr="00E72AC7">
        <w:rPr>
          <w:rStyle w:val="22pt0"/>
          <w:rFonts w:ascii="Sylfaen" w:hAnsi="Sylfaen"/>
          <w:spacing w:val="0"/>
          <w:sz w:val="24"/>
          <w:szCs w:val="24"/>
        </w:rPr>
        <w:t>ПАСПОРТ</w:t>
      </w:r>
    </w:p>
    <w:p w:rsidR="00006614" w:rsidRPr="00E72AC7" w:rsidRDefault="00E72AC7" w:rsidP="00E72AC7">
      <w:pPr>
        <w:pStyle w:val="20"/>
        <w:shd w:val="clear" w:color="auto" w:fill="auto"/>
        <w:spacing w:before="0" w:after="120" w:line="240" w:lineRule="auto"/>
        <w:ind w:right="140" w:firstLine="0"/>
        <w:jc w:val="center"/>
        <w:rPr>
          <w:rFonts w:ascii="Sylfaen" w:hAnsi="Sylfaen"/>
          <w:sz w:val="24"/>
          <w:szCs w:val="24"/>
        </w:rPr>
      </w:pPr>
      <w:r w:rsidRPr="00E72AC7">
        <w:rPr>
          <w:rFonts w:ascii="Sylfaen" w:hAnsi="Sylfaen"/>
          <w:sz w:val="24"/>
          <w:szCs w:val="24"/>
        </w:rPr>
        <w:t>пункта пропуска через таможенную границу Евразийского экономического союза</w:t>
      </w:r>
    </w:p>
    <w:p w:rsidR="00006614" w:rsidRDefault="00006614" w:rsidP="00E72AC7">
      <w:pPr>
        <w:spacing w:after="120"/>
        <w:rPr>
          <w:lang w:val="en-US"/>
        </w:rPr>
      </w:pPr>
    </w:p>
    <w:tbl>
      <w:tblPr>
        <w:tblW w:w="9386" w:type="dxa"/>
        <w:tblInd w:w="5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362"/>
        <w:gridCol w:w="19"/>
        <w:gridCol w:w="5005"/>
      </w:tblGrid>
      <w:tr w:rsidR="00DD1C44" w:rsidRPr="00B556C1" w:rsidTr="00DD1C44">
        <w:trPr>
          <w:tblHeader/>
        </w:trPr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D1C44" w:rsidRPr="00B556C1" w:rsidRDefault="00DD1C44" w:rsidP="00DD1C44">
            <w:pPr>
              <w:spacing w:after="120"/>
              <w:jc w:val="center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I. Общие сведения</w:t>
            </w: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1. Наименование пункта пропуска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2. Государственная принадлежность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3. Сопредельное государство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4. Наименование пункта пропуска на сопредельной стороне (в соответствии с документами по установлению и открытию пункта пропуска)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5. Основание для установления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6. Основание для открытия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7. Код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8. Адрес (место фактического расположения)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9. Юридическое лицо, ответственное за эксплуатацию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10. Удаленность от таможенной границы Евразийского экономического союза (километры)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11. Классификация по характеру международного сообщения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12. Классификация по виду международного сообщения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13. Классификация по режиму работы (функционирования)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14. Классификация по статусу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15. Режим (распорядок) работы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 xml:space="preserve">16. Специализация пункта пропуска (в соответствии с документом об </w:t>
            </w:r>
            <w:r w:rsidRPr="00B556C1">
              <w:rPr>
                <w:rFonts w:eastAsia="Times New Roman" w:cs="Times New Roman"/>
              </w:rPr>
              <w:lastRenderedPageBreak/>
              <w:t>установлении специализации)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lastRenderedPageBreak/>
              <w:t>17. Наличие системы двойного коридора («красного» и «зеленого» коридоров)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18. Наличие систем для совершения таможенного контроля в отношении трансферного багажа: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система обработки багажа;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система поиска, идентификации и доставки трансферного багажа в место проведения таможенного контроля;</w:t>
            </w:r>
          </w:p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система поиска физического лица, которому принадлежит трансферный багаж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19. Проектная пропускная способность в сутки, час (в соответствии с информацией из проектной документации):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грузовых транспортных средств:</w:t>
            </w:r>
          </w:p>
        </w:tc>
        <w:tc>
          <w:tcPr>
            <w:tcW w:w="50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автотранспортных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железнодорожных составов (вагонов)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воздушных судов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морских (речных) судов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контейнеров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пассажирских транспортных средств: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автобусов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железнодорожных составов (вагонов)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воздушных судов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морских (речных) судов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легковых транспортных средств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товаров (тонн)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лиц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20. Возможность пропуска негабаритных транспортных средств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jc w:val="center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lastRenderedPageBreak/>
              <w:t>II. Наличие систем и технических средств контроля</w:t>
            </w: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21. Бесконтактное измерение температуры тела лиц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22. Сбор и уничтожение (утилизация) биологических отходов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23. Очистка и дезинфекция транспортных средств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24. Обеспечение ветеринарного контроля (надзора)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25. Обеззараживание подкарантинной продукции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26. Паспортный (пограничный) контроль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27. Осмотр (досмотр) лиц, багажа и ручной клади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28. Осмотр (досмотр) транспортных средств и товаров (без учета инспекционно-досмотрового комплекса)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29. Инспекционно-досмотровый комплекс (площадка для мобильного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jc w:val="center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II. Наличие систем и технических средств контроля</w:t>
            </w: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инспекционно-досмотрового</w:t>
            </w:r>
            <w:r w:rsidRPr="00B556C1">
              <w:rPr>
                <w:rFonts w:eastAsia="Times New Roman" w:cs="Times New Roman"/>
                <w:lang w:val="en-US"/>
              </w:rPr>
              <w:t xml:space="preserve"> </w:t>
            </w:r>
            <w:r w:rsidRPr="00B556C1">
              <w:rPr>
                <w:rFonts w:eastAsia="Times New Roman" w:cs="Times New Roman"/>
              </w:rPr>
              <w:t>комплекса)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30. Электронный учет автотранспортных средств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31. Определение весогабаритных параметров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32. Радиационный контроль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33. Связь и информационные технологии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34. Телевизионное наблюдение (видеонаблюдение)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35. Пожарная сигнализация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36. Контроль и управление доступом и охранная сигнализация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lastRenderedPageBreak/>
              <w:t>37. Информационное взаимодействие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38. Инженерные средства охраны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39. Резервное электропитание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40. Автоматизированная система электронного учета автотранспортных средств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41. Автоматизированная система управления пропуском автотранспортных средств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jc w:val="center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III. Сведения о контролирующих органах в пункте пропуска (реквизиты, контактная информация: телефон, факс, электронная почта)</w:t>
            </w: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42. Пограничный контроль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43. Таможенный контроль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44. Санитарно-карантинный контроль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45. Ветеринарный контроль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46. Карантинный фитосанитарный контроль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DD1C44" w:rsidRPr="00B556C1" w:rsidTr="00DD1C44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  <w:r w:rsidRPr="00B556C1">
              <w:rPr>
                <w:rFonts w:eastAsia="Times New Roman" w:cs="Times New Roman"/>
              </w:rPr>
              <w:t>47. Транспортный контроль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C44" w:rsidRPr="00B556C1" w:rsidRDefault="00DD1C44" w:rsidP="00D92B1A">
            <w:pPr>
              <w:spacing w:after="120"/>
              <w:rPr>
                <w:rFonts w:eastAsia="Times New Roman" w:cs="Times New Roman"/>
              </w:rPr>
            </w:pPr>
          </w:p>
        </w:tc>
      </w:tr>
    </w:tbl>
    <w:p w:rsidR="00006614" w:rsidRDefault="00006614" w:rsidP="00E72AC7">
      <w:pPr>
        <w:spacing w:after="120"/>
        <w:rPr>
          <w:lang w:val="en-US"/>
        </w:rPr>
      </w:pPr>
    </w:p>
    <w:p w:rsidR="004B6D66" w:rsidRPr="004B6D66" w:rsidRDefault="004B6D66" w:rsidP="004B6D66">
      <w:pPr>
        <w:spacing w:after="120"/>
        <w:ind w:firstLine="567"/>
        <w:jc w:val="both"/>
      </w:pPr>
      <w:r w:rsidRPr="00E72AC7">
        <w:t>Примечание. Настоящая форма заполняется контролирующими органами государства</w:t>
      </w:r>
      <w:r w:rsidRPr="00DD1C44">
        <w:t>-</w:t>
      </w:r>
      <w:r w:rsidRPr="00E72AC7">
        <w:t>члена Евразийского экономического союза.».</w:t>
      </w:r>
    </w:p>
    <w:sectPr w:rsidR="004B6D66" w:rsidRPr="004B6D66" w:rsidSect="00E72AC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79" w:rsidRDefault="000F4979" w:rsidP="00006614">
      <w:r>
        <w:separator/>
      </w:r>
    </w:p>
  </w:endnote>
  <w:endnote w:type="continuationSeparator" w:id="0">
    <w:p w:rsidR="000F4979" w:rsidRDefault="000F4979" w:rsidP="0000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79" w:rsidRDefault="000F4979"/>
  </w:footnote>
  <w:footnote w:type="continuationSeparator" w:id="0">
    <w:p w:rsidR="000F4979" w:rsidRDefault="000F49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48F2"/>
    <w:multiLevelType w:val="multilevel"/>
    <w:tmpl w:val="43EC1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196701"/>
    <w:multiLevelType w:val="multilevel"/>
    <w:tmpl w:val="B944D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6446CE"/>
    <w:multiLevelType w:val="multilevel"/>
    <w:tmpl w:val="30B4F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036921"/>
    <w:multiLevelType w:val="multilevel"/>
    <w:tmpl w:val="BFA46C4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06614"/>
    <w:rsid w:val="00006614"/>
    <w:rsid w:val="00013972"/>
    <w:rsid w:val="000F4979"/>
    <w:rsid w:val="00190BFD"/>
    <w:rsid w:val="004B6D66"/>
    <w:rsid w:val="007C7EA8"/>
    <w:rsid w:val="009A0637"/>
    <w:rsid w:val="00B65D5B"/>
    <w:rsid w:val="00D926C6"/>
    <w:rsid w:val="00DA6567"/>
    <w:rsid w:val="00DD1C44"/>
    <w:rsid w:val="00E72AC7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661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6614"/>
    <w:rPr>
      <w:color w:val="0066CC"/>
      <w:u w:val="single"/>
    </w:rPr>
  </w:style>
  <w:style w:type="character" w:customStyle="1" w:styleId="5">
    <w:name w:val="Основной текст (5)_"/>
    <w:basedOn w:val="DefaultParagraphFont"/>
    <w:link w:val="50"/>
    <w:rsid w:val="00006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Заголовок №1 (2)_"/>
    <w:basedOn w:val="DefaultParagraphFont"/>
    <w:link w:val="120"/>
    <w:rsid w:val="00006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4pt">
    <w:name w:val="Основной текст (5) + Интервал 4 pt"/>
    <w:basedOn w:val="5"/>
    <w:rsid w:val="00006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006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pt">
    <w:name w:val="Основной текст (2) + Полужирный;Интервал 2 pt"/>
    <w:basedOn w:val="2"/>
    <w:rsid w:val="00006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006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5pt">
    <w:name w:val="Основной текст (4) + 15 pt"/>
    <w:basedOn w:val="4"/>
    <w:rsid w:val="00006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13pt2pt">
    <w:name w:val="Основной текст (4) + 13 pt;Полужирный;Интервал 2 pt"/>
    <w:basedOn w:val="4"/>
    <w:rsid w:val="00006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4"/>
    <w:rsid w:val="00006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pt">
    <w:name w:val="Основной текст (5) + Интервал 2 pt"/>
    <w:basedOn w:val="5"/>
    <w:rsid w:val="00006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2pt0">
    <w:name w:val="Основной текст (5) + Интервал 2 pt"/>
    <w:basedOn w:val="5"/>
    <w:rsid w:val="00006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pt0">
    <w:name w:val="Основной текст (2) + Интервал 2 pt"/>
    <w:basedOn w:val="2"/>
    <w:rsid w:val="00006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006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Normal"/>
    <w:link w:val="5"/>
    <w:rsid w:val="000066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оловок №1 (2)"/>
    <w:basedOn w:val="Normal"/>
    <w:link w:val="12"/>
    <w:rsid w:val="0000661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Normal"/>
    <w:link w:val="2"/>
    <w:rsid w:val="00006614"/>
    <w:pPr>
      <w:shd w:val="clear" w:color="auto" w:fill="FFFFFF"/>
      <w:spacing w:before="420" w:after="420" w:line="0" w:lineRule="atLeast"/>
      <w:ind w:hanging="19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Normal"/>
    <w:link w:val="4"/>
    <w:rsid w:val="00006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6530</Words>
  <Characters>37222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7</cp:revision>
  <dcterms:created xsi:type="dcterms:W3CDTF">2018-03-30T08:37:00Z</dcterms:created>
  <dcterms:modified xsi:type="dcterms:W3CDTF">2018-12-27T07:21:00Z</dcterms:modified>
</cp:coreProperties>
</file>