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1C" w:rsidRPr="00560004" w:rsidRDefault="004636C9" w:rsidP="00591E92">
      <w:pPr>
        <w:pStyle w:val="Bodytext20"/>
        <w:shd w:val="clear" w:color="auto" w:fill="auto"/>
        <w:spacing w:before="0" w:after="120" w:line="240" w:lineRule="auto"/>
        <w:ind w:left="7920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D6456F">
        <w:rPr>
          <w:rFonts w:ascii="Sylfaen" w:hAnsi="Sylfaen"/>
          <w:sz w:val="24"/>
          <w:szCs w:val="24"/>
        </w:rPr>
        <w:t>Проект</w:t>
      </w:r>
    </w:p>
    <w:p w:rsidR="00D6456F" w:rsidRPr="00560004" w:rsidRDefault="00D6456F" w:rsidP="00D6456F">
      <w:pPr>
        <w:pStyle w:val="Bodytext20"/>
        <w:shd w:val="clear" w:color="auto" w:fill="auto"/>
        <w:spacing w:before="0" w:after="120" w:line="240" w:lineRule="auto"/>
        <w:ind w:right="280"/>
        <w:jc w:val="right"/>
        <w:rPr>
          <w:rFonts w:ascii="Sylfaen" w:hAnsi="Sylfaen"/>
          <w:sz w:val="24"/>
          <w:szCs w:val="24"/>
        </w:rPr>
      </w:pPr>
    </w:p>
    <w:p w:rsidR="0014341C" w:rsidRPr="00D6456F" w:rsidRDefault="004636C9" w:rsidP="00D6456F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D6456F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ПРОТОКОЛ</w:t>
      </w:r>
    </w:p>
    <w:p w:rsidR="0014341C" w:rsidRPr="00D6456F" w:rsidRDefault="004636C9" w:rsidP="00D6456F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о внесении изменений в Договор о Евразийском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экономическом союзе от 29 мая 2014 года</w:t>
      </w:r>
    </w:p>
    <w:p w:rsidR="0014341C" w:rsidRPr="00D6456F" w:rsidRDefault="00757C01" w:rsidP="00757C01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Государства-</w:t>
      </w:r>
      <w:r w:rsidR="004636C9" w:rsidRPr="00D6456F">
        <w:rPr>
          <w:rFonts w:ascii="Sylfaen" w:hAnsi="Sylfaen"/>
          <w:sz w:val="24"/>
          <w:szCs w:val="24"/>
        </w:rPr>
        <w:t>члены Евразийского экономического союза, именуемые в дальнейшем государствами-членами,</w:t>
      </w:r>
    </w:p>
    <w:p w:rsidR="0014341C" w:rsidRPr="00D6456F" w:rsidRDefault="004636C9" w:rsidP="00757C01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в целях реализации пункта 2 статьи 82 Договора о Евразийском экономическом союзе от 29 мая 2014 года,</w:t>
      </w:r>
    </w:p>
    <w:p w:rsidR="0014341C" w:rsidRPr="00D6456F" w:rsidRDefault="004636C9" w:rsidP="00757C01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руководствуясь пунктом 64 приложения № 3 к Договору о присоединении Республики Армения к Договору о Евразийском экономическом союзе от 29 мая 2014 года, подписанному 10 октября 2014 г.,</w:t>
      </w:r>
    </w:p>
    <w:p w:rsidR="0014341C" w:rsidRPr="00804BA2" w:rsidRDefault="004636C9" w:rsidP="00757C01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согласились о нижеследующем:</w:t>
      </w:r>
    </w:p>
    <w:p w:rsidR="00757C01" w:rsidRPr="00804BA2" w:rsidRDefault="00757C01" w:rsidP="00757C01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</w:p>
    <w:p w:rsidR="0014341C" w:rsidRPr="00D6456F" w:rsidRDefault="004636C9" w:rsidP="00757C0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Статья 1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Внести в Методологию осуществления межгосударственной передачи электрической энергии (мощности) между го</w:t>
      </w:r>
      <w:r w:rsidR="004B088E">
        <w:rPr>
          <w:rFonts w:ascii="Sylfaen" w:hAnsi="Sylfaen"/>
          <w:sz w:val="24"/>
          <w:szCs w:val="24"/>
        </w:rPr>
        <w:t>сударствами-</w:t>
      </w:r>
      <w:r w:rsidRPr="00D6456F">
        <w:rPr>
          <w:rFonts w:ascii="Sylfaen" w:hAnsi="Sylfaen"/>
          <w:sz w:val="24"/>
          <w:szCs w:val="24"/>
        </w:rPr>
        <w:t>членами (приложение к Протоколу об обеспечении доступа к услугам субъектов естественных монополий в сфере электроэнергетики, включая основы ценообразования и тарифной политики, являющемуся приложением</w:t>
      </w:r>
      <w:r w:rsidR="00D6456F">
        <w:rPr>
          <w:rFonts w:ascii="Sylfaen" w:hAnsi="Sylfaen"/>
          <w:sz w:val="24"/>
          <w:szCs w:val="24"/>
        </w:rPr>
        <w:t xml:space="preserve"> </w:t>
      </w:r>
      <w:r w:rsidR="00560004" w:rsidRPr="00D6456F">
        <w:rPr>
          <w:rFonts w:ascii="Sylfaen" w:hAnsi="Sylfaen"/>
          <w:sz w:val="24"/>
          <w:szCs w:val="24"/>
        </w:rPr>
        <w:t>№</w:t>
      </w:r>
      <w:r w:rsidR="00560004" w:rsidRPr="00560004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21 к Договору о Евразийском экономическом союзе от 29 мая 2014 года) следующие изменения: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eastAsia="en-US" w:bidi="en-US"/>
        </w:rPr>
        <w:t xml:space="preserve">1. </w:t>
      </w:r>
      <w:r w:rsidRPr="00D6456F">
        <w:rPr>
          <w:rFonts w:ascii="Sylfaen" w:hAnsi="Sylfaen"/>
          <w:sz w:val="24"/>
          <w:szCs w:val="24"/>
        </w:rPr>
        <w:t>Раздел 1 дополнить пунктом 1.4 следующего содержания: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«1.4. На территории Республики Армения.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eastAsia="en-US" w:bidi="en-US"/>
        </w:rPr>
        <w:t>1.4.1.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Годовые прогнозные объемы МГП по электроэнергетической системе Республики Армения (далее - ЭЭС Армении) определяются организацией, уполномоченной на организацию МГП (системный оператор Республики Армения), на основании заявки.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eastAsia="en-US" w:bidi="en-US"/>
        </w:rPr>
        <w:t xml:space="preserve">1.4.2. </w:t>
      </w:r>
      <w:r w:rsidR="004636C9" w:rsidRPr="00D6456F">
        <w:rPr>
          <w:rFonts w:ascii="Sylfaen" w:hAnsi="Sylfaen"/>
          <w:sz w:val="24"/>
          <w:szCs w:val="24"/>
        </w:rPr>
        <w:t>Заявка на предстоящий календарный год подается не позднее 1 апреля предшествующего года. В заявке указывается годовой объем МГП с разбивкой по месяцам и указанием точек приема и выдачи электрической энергии на границе Республики Армения.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eastAsia="en-US" w:bidi="en-US"/>
        </w:rPr>
        <w:t>1.4.3.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При рассмотрении заявки системный оператор Республики Армения руководствуется величиной имеющейся технической возможности ЭЭС Армении, определяемой в соответствии с настоящей Методологией. При превышении заявляемой величины МГП величины имеющейся технической возможности ЭЭС Армении в целом по году или в каком-либо месяце года системный оператор Республики Армения направляет мотивированный отказ организации, подавшей заявку.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eastAsia="en-US" w:bidi="en-US"/>
        </w:rPr>
        <w:lastRenderedPageBreak/>
        <w:t xml:space="preserve">1.4.4. </w:t>
      </w:r>
      <w:r w:rsidR="004636C9" w:rsidRPr="00D6456F">
        <w:rPr>
          <w:rFonts w:ascii="Sylfaen" w:hAnsi="Sylfaen"/>
          <w:sz w:val="24"/>
          <w:szCs w:val="24"/>
        </w:rPr>
        <w:t>Заявленные объемы МГП, согласованные системным оператором Республики Армения,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eastAsia="en-US" w:bidi="en-US"/>
        </w:rPr>
        <w:t xml:space="preserve">1.4.5. </w:t>
      </w:r>
      <w:r w:rsidR="004636C9" w:rsidRPr="00D6456F">
        <w:rPr>
          <w:rFonts w:ascii="Sylfaen" w:hAnsi="Sylfaen"/>
          <w:sz w:val="24"/>
          <w:szCs w:val="24"/>
        </w:rPr>
        <w:t>После формирования прогнозных балансов электрической энергии и мощности по ЭЭС Армении до 15 октября года, предшествующего планируемому, определяются и согласовываются с субъектами оптового рынка объемы поставки электрической энергии по двухсторонним межгосударственным договорам.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eastAsia="en-US" w:bidi="en-US"/>
        </w:rPr>
        <w:t>1.4.6.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Объемы электрической энергии, предполагаемые к МГП, могут быть скорректированы по предложению субъектов, уполномоченных на организацию и осуществление МГП, до 1 ноября года, предшествующего году планируемой поставки.».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2. В разделе 2: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а)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подпункт 2.2.2 изложить в следующей редакции: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«2.2.2. Планирование (расчет реализуемости запланированных объемов МГП между государствами-членами) производится между ЕЭС России и ЕЭС Казахстана, между ЕЭС России и Объединенной энергетической системой Беларуси (ОЭС Беларуси), а также между ЕЭС России и ЭЭС Армении (через электроэнергетические системы третьих государств) с использованием расчетной модели параллельно работающих электроэнергетических систем (далее - расчетная модель).»;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б)</w:t>
      </w:r>
      <w:r w:rsidRPr="00D6456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456F">
        <w:rPr>
          <w:rFonts w:ascii="Sylfaen" w:hAnsi="Sylfaen"/>
          <w:sz w:val="24"/>
          <w:szCs w:val="24"/>
        </w:rPr>
        <w:t>подпункт 2.2.3 после слов «ОЭС Беларуси» дополнить словами «, эквивалентов ЭЭС Армении и энергосистем третьих государств, через которые осуществляется передача электрической энергии (мощности) между ЕЭС России и ЭЭС Армении,»;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в)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подпункт 2.2.6 дополнить словами «, а также системным оператором ЭЭС Армении по согласованию с системными операторами энергосистем третьих государств, через которые осуществляется передача электрической энергии (мощности) между ЕЭС России и ЭЭС Армении»;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г)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подпункты 2.3.1 - 2.3.3, 2.4.1, 2.4.3, 2.4.5, 2.5.1, 2.6.1, 2.6.3, 2.6.5 - 2.6.7 после слов «системный оператор ЕЭС Казахстана» в соответствующем падеже дополнить словами «, системный оператор ЭЭС Армении» в соответствующем падеже;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д)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в подпункте 2.4.2: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в предложении первом слова «системный оператор ЕЭС России» заменить словами «организация по управлению ЕНЭС»; дополнить абзацем следующего содержания: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«Системный оператор ЭЭС Армении формирует и представляет координатору планирования графики ремонтов электросетевого оборудования ЭЭС Армении, включенного в расчетную модель. Графики ремонтов электросетевого оборудования ЭЭС Армении, включенного в расчетную модель, не подлежат согласованию с координатором планирования.»;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lastRenderedPageBreak/>
        <w:t>е)</w:t>
      </w:r>
      <w:r w:rsidRPr="00D6456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456F">
        <w:rPr>
          <w:rFonts w:ascii="Sylfaen" w:hAnsi="Sylfaen"/>
          <w:sz w:val="24"/>
          <w:szCs w:val="24"/>
        </w:rPr>
        <w:t>подпункт 2.4.4 дополнить словами «, а также передача электрической энергии (мощности) между ЕЭС России и ЭЭС Армении»;</w:t>
      </w:r>
    </w:p>
    <w:p w:rsidR="00AB67C6" w:rsidRPr="00560004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ж)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абзац пятый подпункта 2.6.2 изложить в следующей редакции: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«Организация по управлению ЕНЭС представляет координатору</w:t>
      </w:r>
      <w:r w:rsidR="00AB67C6" w:rsidRPr="00AB67C6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планирования суммарные значения согласованных с организацией, выполняющей функцию системного оператора ОЭС Беларуси, системным оператором ЕЭС Казахстана и системным оператором ЭЭС Армении почасовых графиков объемов поставок электрической энергии между ЕЭС России, ОЭС Беларуси, ЕЭС Казахстана и ЭЭС Армении по всем видам договоров, в том числе МГП, между государствами-членами.».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Раздел 3 дополнить пунктом 3.4 следующего содержания: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«3.4. На территории Республики Армения МГП обеспечивается следующими уполномоченными организациями: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3.4.1.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Организация МГП возлагается на системного оператора в части организации и управления режимами параллельной работы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ЭЭС Армении и энергосистем третьих государств, через которые осуществляется передача электрической энергии (мощности) между ЭЭС Армении и ЕЭС России, с выполнением следующих функций: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оказание услуг технической диспетчеризации по передаче электрической энергии по передающей сети и услуг по организации балансирования производства-потребления электрической энергии;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взаимодействие с электроэнергетическими системами третьих государств по организации и управлению режимами параллельной работы.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3.4.2.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Осуществление МГП возлагается на уполномоченную организацию, осуществляющую передачу электрической энергии (мощности) по территории Республики Армения, с выполнением функции по оказанию услуг по передаче электрической энергии по ЭЭС Армении.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3.4.3.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Контроль и учет МГП возлагаются на уполномоченную организацию, предоставляющую услуги расчетного центра, с выполнением следующих функций: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 w:rsidR="00757C01" w:rsidRPr="00757C01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коммерческий учет выработанной, перемещенной, экспортируемой, импортируемой электрической энергии (мощности), а также электрической энергии, обусловленной параллельной работой электроэнергетических систем третьих государств, на базе действующей автоматизированной системы коммерческого учета электрической энергии;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 w:rsidR="00757C01" w:rsidRPr="00757C01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расчет нормативных и учет фактических технологических потерь электрической энергии.».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Раздел 4 дополнить пунктом 4.4 следующего содержания: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«4.4. На территории Республики Армения.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eastAsia="en-US" w:bidi="en-US"/>
        </w:rPr>
        <w:lastRenderedPageBreak/>
        <w:t xml:space="preserve">4.4.1. </w:t>
      </w:r>
      <w:r w:rsidRPr="00D6456F">
        <w:rPr>
          <w:rFonts w:ascii="Sylfaen" w:hAnsi="Sylfaen"/>
          <w:sz w:val="24"/>
          <w:szCs w:val="24"/>
        </w:rPr>
        <w:t>В соответствии с законодательством Республики Армения тариф на услуги по передаче электрической энергии по высоковольтным электрическим сетям, в том числе МГП между государствами-членами, рассчитывается по формуле:</w:t>
      </w:r>
    </w:p>
    <w:p w:rsidR="00757C01" w:rsidRPr="00AB67C6" w:rsidRDefault="00757C01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</w:p>
    <w:p w:rsidR="00757C01" w:rsidRPr="00757C01" w:rsidRDefault="00757C01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сум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драм/кВт.ч</m:t>
            </m:r>
          </m:e>
        </m:d>
      </m:oMath>
      <w:r w:rsidRPr="00757C01">
        <w:rPr>
          <w:rFonts w:ascii="Sylfaen" w:hAnsi="Sylfaen"/>
          <w:i/>
          <w:sz w:val="24"/>
          <w:szCs w:val="24"/>
        </w:rPr>
        <w:t xml:space="preserve">, </w:t>
      </w:r>
      <w:r w:rsidRPr="00D6456F">
        <w:rPr>
          <w:rFonts w:ascii="Sylfaen" w:hAnsi="Sylfaen"/>
          <w:sz w:val="24"/>
          <w:szCs w:val="24"/>
        </w:rPr>
        <w:t>где:</w:t>
      </w:r>
    </w:p>
    <w:p w:rsidR="00757C01" w:rsidRPr="00AB67C6" w:rsidRDefault="00757C01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Т - тариф (без учета налога на добавленную стоимость) на услуги по передаче электрической энергии, в том числе МГП между государствами-членами, применяемый для потребителей, осуществляющих передачу электрической энергии, в том числе МГП, по высоковольтным электрическим сетям (драм/кВт.ч);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  <w:lang w:val="en-US" w:eastAsia="en-US" w:bidi="en-US"/>
        </w:rPr>
        <w:t>Z</w:t>
      </w:r>
      <w:r w:rsidRPr="00D6456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456F">
        <w:rPr>
          <w:rFonts w:ascii="Sylfaen" w:hAnsi="Sylfaen"/>
          <w:sz w:val="24"/>
          <w:szCs w:val="24"/>
        </w:rPr>
        <w:t>- общие годовые затраты высоковольтных электрических сетей Республики Армения на услуги по передаче электрической энергии, в том числе МГП, утвержденные уполномоченным государственным органом Республики Армения. Годовые затраты высоковольтных электрических сетей определяются в установленном законодательством Республики Армения порядке (млн драм);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А - годовая величина амортизации, определяемая по линейному методу, исходя из задействованности активов (млн драм);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Р - годовой уровень прибыли, необходимой для эффективного функционирования высоковольтных электрических сетей при оказании услуг по передаче электрической энергии, в том числе МГП, определяемый в установленном законодательством Республики Армения порядке (млн драм);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proofErr w:type="spellStart"/>
      <w:r w:rsidRPr="00D6456F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D6456F">
        <w:rPr>
          <w:rFonts w:ascii="Sylfaen" w:hAnsi="Sylfaen"/>
          <w:sz w:val="24"/>
          <w:szCs w:val="24"/>
          <w:vertAlign w:val="subscript"/>
          <w:lang w:val="en-US" w:eastAsia="en-US" w:bidi="en-US"/>
        </w:rPr>
        <w:t>cy</w:t>
      </w:r>
      <w:proofErr w:type="spellEnd"/>
      <w:r w:rsidRPr="00D6456F">
        <w:rPr>
          <w:rFonts w:ascii="Sylfaen" w:hAnsi="Sylfaen"/>
          <w:sz w:val="24"/>
          <w:szCs w:val="24"/>
          <w:vertAlign w:val="subscript"/>
        </w:rPr>
        <w:t>м</w:t>
      </w:r>
      <w:r w:rsidRPr="00D6456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6456F">
        <w:rPr>
          <w:rFonts w:ascii="Sylfaen" w:hAnsi="Sylfaen"/>
          <w:sz w:val="24"/>
          <w:szCs w:val="24"/>
        </w:rPr>
        <w:t>- заявленный по договорам и контрактам суммарный годовой объем передачи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электрической энергии по высоковольтным</w:t>
      </w:r>
      <w:r w:rsidR="00AB67C6" w:rsidRPr="00AB67C6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электрическим сетям (млн кВт.ч) как для потребителей внутреннего рынка, так и для экспорта.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4.4.2.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В соответствии с законодательством Республики Армения при расчете тарифа на услуги по передаче электрической энергии по высоковольтным электрическим сетям в тарифный доход включаются общие затраты на услуги по передаче электрической энергии по высоковольтным электрическим сетям, амортизация и уровень прибыли, необходимой для эффективного функционирования высоковольтных электрических сетей при оказании услуг по передаче электрической энергии (определяется исходя из задействованности активов).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Затраты, включаемые в тариф на услуги по передаче электрической энергии, определяются в соответствии с законодательством Республики Армения.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4.4.3.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Налог на добавленную стоимость прибавляется к тарифу на услуги по передаче электрической энергии по высоковольтным электрическим сетям согласно законодательству Республики Армения.».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Раздел 5 дополнить пунктом 5.4 следующего содержания: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lastRenderedPageBreak/>
        <w:t>«5.4. На территории Республики Армения.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При формировании тарифа на услуги по МГП между государствами-членами не учитываются расходы в соответствии с законодательством Республики Армения.».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В разделе 6: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а)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в пункте 6.3 в абзаце втором слова «МГП» заменить словами «6.3.1. МГП»;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б)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в подпункте 6.3.1: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в абзаце первом слова «6.3.1. Договоров коммерческого агента с уполномоченной организацией от Республики Беларусь или Республики</w:t>
      </w:r>
      <w:r w:rsidR="00AB67C6" w:rsidRPr="00AB67C6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Казахстан» заменить словами «6.3.1.1. Договоров коммерческого агента с уполномоченной организацией от Республики Беларусь, или Республики Казахстан, или Республики Армения»;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абзац десятый дополнить предложением следующего содержания: «В случае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государств, указанная величина включает также компенсацию подтвержденных отчетными документами организаций коммерческой инфраструктуры Российской Федерации затрат, понесенных коммерческим агентом на оптовом рынке Российской Федерации, связанных с особенностями определения фактического объема МГП в таких случаях.»;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в)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в подпункте 6.3.2 слова «6.3.2. Договоров» заменить словами «6.3.1.2. Договоров»;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г)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подпункт 6.3.3 заменить подпунктом следующего содержания: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«6.3.1.3. Договоров купли продажи электроэнергии между</w:t>
      </w:r>
      <w:r w:rsidR="00AB67C6" w:rsidRPr="00AB67C6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уполномоченными организациями Российской Федерации (в соответствии с разделом 3 настоящей Методологии) и сопредельных государств-членов, заключаемых в целях компенсации величин отклонений фактических сальдо перетоков по сечениям МГП от плановых, возникающих при перемещении электрической энергии через границы государств-членов и определяемых в соответствии с согласованным государствами-членами порядком.»;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д)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дополнить подпунктом 6.3.2 следующего содержания: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«6.3.2. В случае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государств, МГП</w:t>
      </w:r>
      <w:r w:rsidR="00AB67C6" w:rsidRPr="00AB67C6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через ЕЭС России осуществляется при урегулировании вопросов, связанных: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с обеспечением параллельной работы ЕЭС России и энергосистемы третьего государства между соответствующими уполномоченными организациями;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 xml:space="preserve">с организацией обмена данными коммерческого учета о почасовых фактических объемах межгосударственных перетоков электрической энергии между соответствующими хозяйствующими субъектами Российской Федерации и третьего </w:t>
      </w:r>
      <w:r w:rsidR="004636C9" w:rsidRPr="00D6456F">
        <w:rPr>
          <w:rFonts w:ascii="Sylfaen" w:hAnsi="Sylfaen"/>
          <w:sz w:val="24"/>
          <w:szCs w:val="24"/>
        </w:rPr>
        <w:lastRenderedPageBreak/>
        <w:t>государства;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с определением фактических сальдо перетоков электрической энергии и почасовых отклонений фактических межгосударственных сальдо перетоков электрической энергии от плановых значений;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с распределением количества электрической энергии, перемещенной через границы Российской Федерации и третьего государства, по договорам, заключенным между хозяйствующими субъектами Российской Федерации и третьего государства, в том числе расчета объемов МЕП;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с куплей-продажей электрической энергии в целях урегулирования почасовых отклонений фактических перетоков от плановых, возникающих при перемещении электрической энергии через границы Российской Федерации и третьего государства, между уполномоченными хозяйствующими субъектами Российской Федерации и третьего государства.»;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е)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дополнить пунктами 6.4 и 6.5 следующего содержания: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«6.4. На территории Республики Армения.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МГП осуществляется на основании договоров на оказание услуг по передаче электрической энергии, заключаемых по типовой форме, утверждаемой уполномоченным государственным органом Республики Армения. При этом в договорах на осуществление МГП учитываются особенности такой передачи, связанные с передачей электрической энергии через энергосистемы третьих государств.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6.5. Вопросы, связанные с необходимостью передачи электрической энергии (мощности) между Республикой Армения и Российской Федерацией через территории третьих государств при осуществлении МГП, регулируются на двусторонней основе заинтересованными в осуществлении МГП хозяйствующими субъектами государств-членов с соответствующими хозяйствующими субъектами третьих государств.».</w:t>
      </w:r>
    </w:p>
    <w:p w:rsidR="0014341C" w:rsidRPr="00D6456F" w:rsidRDefault="00D6456F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4636C9" w:rsidRPr="00D6456F">
        <w:rPr>
          <w:rFonts w:ascii="Sylfaen" w:hAnsi="Sylfaen"/>
          <w:sz w:val="24"/>
          <w:szCs w:val="24"/>
        </w:rPr>
        <w:t>В разделе 9: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а)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абзац третий изложить в следующей редакции: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 xml:space="preserve">«- при осуществлении МГП через ЕЭС России почасовые величины объемов МГП принимаются равными соответствующим плановым значениям, учтенным в суточном диспетчерском графике. В случае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 и фактическое сальдо перетоков электрической энергии с учетом приоритетности, определенной в пункте 2.3.1 настоящей Методологии, меньше планового значения, то фактический почасовой объем МГП по договорам коммерческого агента с заинтересованными хозяйствующими субъектами государств-членов, а также фактический почасовой объем передачи электрической энергии по договору на оказание услуг по передаче электрической энергии с соответствующим хозяйствующим субъектом третьего </w:t>
      </w:r>
      <w:r w:rsidRPr="00D6456F">
        <w:rPr>
          <w:rFonts w:ascii="Sylfaen" w:hAnsi="Sylfaen"/>
          <w:sz w:val="24"/>
          <w:szCs w:val="24"/>
        </w:rPr>
        <w:lastRenderedPageBreak/>
        <w:t>государства принимаются равными минимальному значению из соответствующих значений фактических сальдо перетоков электрической энергии на границе третьего государства с Российской Федерацией и третьего государства с государством-членом;»;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б) в абзаце десятом слово «Используемые» заменить словами «В случае если при осуществлении МГП не требуется передача электрической энергии (мощности) между Республикой Армения и Российской Федерацией, используемые»;</w:t>
      </w:r>
    </w:p>
    <w:p w:rsidR="0014341C" w:rsidRPr="00D6456F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в)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после абзаца десятого дополнить абзацем следующего содержания:</w:t>
      </w:r>
    </w:p>
    <w:p w:rsidR="0014341C" w:rsidRDefault="004636C9" w:rsidP="00AB67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«В случае если при осуществлении МГП требуется передача электрической энергии (мощности) между Республикой Армения и Российской Федерацией, используемые в расчете количественные и ценовые параметры электрической энергии (мощности), купленной и проданной в целях компенсации отклонений в точках поставки на границе Российской Федерации, подтверждаются отчетными документами организаций коммерческой инфраструктуры Российской Федерации, а на границе Республики Армения - отчетными документами уполномоченной организации, предоставляющей услуги расчетного центра на территории Республики Армения.».</w:t>
      </w:r>
    </w:p>
    <w:p w:rsidR="00757C01" w:rsidRPr="00D6456F" w:rsidRDefault="00757C01" w:rsidP="00757C01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</w:p>
    <w:p w:rsidR="0014341C" w:rsidRPr="00D6456F" w:rsidRDefault="004636C9" w:rsidP="00757C0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Статья 2</w:t>
      </w:r>
    </w:p>
    <w:p w:rsidR="0014341C" w:rsidRPr="00D6456F" w:rsidRDefault="004636C9" w:rsidP="00757C0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Настоящий Протокол вступает в силу с даты получения депозитарием по дипломатическим каналам последнего письменного уведомления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о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выполнении</w:t>
      </w:r>
      <w:r w:rsidR="00D6456F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государствами-членами</w:t>
      </w:r>
      <w:r w:rsidR="000171C6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внутригосударственных процедур, необходимых для его вступления в силу.</w:t>
      </w:r>
    </w:p>
    <w:p w:rsidR="0014341C" w:rsidRPr="00D6456F" w:rsidRDefault="004636C9" w:rsidP="00757C0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Совершено в городе</w:t>
      </w:r>
      <w:r w:rsidR="00D6456F">
        <w:rPr>
          <w:rFonts w:ascii="Sylfaen" w:hAnsi="Sylfaen"/>
          <w:sz w:val="24"/>
          <w:szCs w:val="24"/>
        </w:rPr>
        <w:t xml:space="preserve"> </w:t>
      </w:r>
      <w:r w:rsidR="00757C01">
        <w:rPr>
          <w:rFonts w:ascii="Sylfaen" w:hAnsi="Sylfaen"/>
          <w:sz w:val="24"/>
          <w:szCs w:val="24"/>
        </w:rPr>
        <w:t xml:space="preserve">————— </w:t>
      </w:r>
      <w:r w:rsidRPr="00D6456F">
        <w:rPr>
          <w:rFonts w:ascii="Sylfaen" w:hAnsi="Sylfaen"/>
          <w:sz w:val="24"/>
          <w:szCs w:val="24"/>
        </w:rPr>
        <w:t>«</w:t>
      </w:r>
      <w:r w:rsidR="00D6456F">
        <w:rPr>
          <w:rFonts w:ascii="Sylfaen" w:hAnsi="Sylfaen"/>
          <w:sz w:val="24"/>
          <w:szCs w:val="24"/>
        </w:rPr>
        <w:t xml:space="preserve"> </w:t>
      </w:r>
      <w:r w:rsidR="00757C01">
        <w:rPr>
          <w:rFonts w:ascii="Sylfaen" w:hAnsi="Sylfaen"/>
          <w:sz w:val="24"/>
          <w:szCs w:val="24"/>
        </w:rPr>
        <w:t xml:space="preserve">—— </w:t>
      </w:r>
      <w:r w:rsidRPr="00D6456F">
        <w:rPr>
          <w:rFonts w:ascii="Sylfaen" w:hAnsi="Sylfaen"/>
          <w:sz w:val="24"/>
          <w:szCs w:val="24"/>
        </w:rPr>
        <w:t>»</w:t>
      </w:r>
      <w:r w:rsidR="00D6456F">
        <w:rPr>
          <w:rFonts w:ascii="Sylfaen" w:hAnsi="Sylfaen"/>
          <w:sz w:val="24"/>
          <w:szCs w:val="24"/>
        </w:rPr>
        <w:t xml:space="preserve"> </w:t>
      </w:r>
      <w:r w:rsidR="00757C01">
        <w:rPr>
          <w:rFonts w:ascii="Sylfaen" w:hAnsi="Sylfaen"/>
          <w:sz w:val="24"/>
          <w:szCs w:val="24"/>
        </w:rPr>
        <w:t xml:space="preserve">———— </w:t>
      </w:r>
      <w:r w:rsidRPr="00D6456F">
        <w:rPr>
          <w:rFonts w:ascii="Sylfaen" w:hAnsi="Sylfaen"/>
          <w:sz w:val="24"/>
          <w:szCs w:val="24"/>
        </w:rPr>
        <w:t>2016 года</w:t>
      </w:r>
      <w:r w:rsidR="00757C01">
        <w:rPr>
          <w:rFonts w:ascii="Sylfaen" w:hAnsi="Sylfaen"/>
          <w:sz w:val="24"/>
          <w:szCs w:val="24"/>
        </w:rPr>
        <w:t xml:space="preserve"> </w:t>
      </w:r>
      <w:r w:rsidRPr="00D6456F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14341C" w:rsidRDefault="004636C9" w:rsidP="00757C0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6456F">
        <w:rPr>
          <w:rFonts w:ascii="Sylfaen" w:hAnsi="Sylfaen"/>
          <w:sz w:val="24"/>
          <w:szCs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 w:rsidR="000171C6" w:rsidRPr="00D6456F" w:rsidRDefault="000171C6" w:rsidP="00757C0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940"/>
        <w:gridCol w:w="1883"/>
        <w:gridCol w:w="2081"/>
        <w:gridCol w:w="1966"/>
      </w:tblGrid>
      <w:tr w:rsidR="0014341C" w:rsidRPr="00D6456F" w:rsidTr="000171C6">
        <w:trPr>
          <w:jc w:val="center"/>
        </w:trPr>
        <w:tc>
          <w:tcPr>
            <w:tcW w:w="2045" w:type="dxa"/>
            <w:shd w:val="clear" w:color="auto" w:fill="FFFFFF"/>
            <w:vAlign w:val="center"/>
          </w:tcPr>
          <w:p w:rsidR="0014341C" w:rsidRPr="00D6456F" w:rsidRDefault="004636C9" w:rsidP="00017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456F">
              <w:rPr>
                <w:rStyle w:val="Bodytext214pt0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14341C" w:rsidRPr="00D6456F" w:rsidRDefault="004636C9" w:rsidP="00017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456F">
              <w:rPr>
                <w:rStyle w:val="Bodytext214pt0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14341C" w:rsidRPr="00D6456F" w:rsidRDefault="004636C9" w:rsidP="00017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456F">
              <w:rPr>
                <w:rStyle w:val="Bodytext214pt0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14341C" w:rsidRPr="00D6456F" w:rsidRDefault="004636C9" w:rsidP="00017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456F">
              <w:rPr>
                <w:rStyle w:val="Bodytext214pt0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14341C" w:rsidRPr="00D6456F" w:rsidRDefault="004636C9" w:rsidP="00017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456F">
              <w:rPr>
                <w:rStyle w:val="Bodytext214pt0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14341C" w:rsidRPr="00D6456F" w:rsidRDefault="0014341C" w:rsidP="000171C6">
      <w:pPr>
        <w:spacing w:after="120"/>
        <w:rPr>
          <w:rFonts w:ascii="Sylfaen" w:hAnsi="Sylfaen"/>
        </w:rPr>
      </w:pPr>
    </w:p>
    <w:sectPr w:rsidR="0014341C" w:rsidRPr="00D6456F" w:rsidSect="00D6456F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C98" w:rsidRDefault="00191C98" w:rsidP="0014341C">
      <w:r>
        <w:separator/>
      </w:r>
    </w:p>
  </w:endnote>
  <w:endnote w:type="continuationSeparator" w:id="0">
    <w:p w:rsidR="00191C98" w:rsidRDefault="00191C98" w:rsidP="001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C98" w:rsidRDefault="00191C98"/>
  </w:footnote>
  <w:footnote w:type="continuationSeparator" w:id="0">
    <w:p w:rsidR="00191C98" w:rsidRDefault="00191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6E7"/>
    <w:multiLevelType w:val="multilevel"/>
    <w:tmpl w:val="EA4CEF2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340EB"/>
    <w:multiLevelType w:val="multilevel"/>
    <w:tmpl w:val="7FB0F87C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708F1"/>
    <w:multiLevelType w:val="multilevel"/>
    <w:tmpl w:val="67B02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3154A"/>
    <w:multiLevelType w:val="multilevel"/>
    <w:tmpl w:val="D60E96F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0464D"/>
    <w:multiLevelType w:val="multilevel"/>
    <w:tmpl w:val="778A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DC72D0"/>
    <w:multiLevelType w:val="multilevel"/>
    <w:tmpl w:val="AA8C4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41C"/>
    <w:rsid w:val="000171C6"/>
    <w:rsid w:val="001235D9"/>
    <w:rsid w:val="0014341C"/>
    <w:rsid w:val="00191C98"/>
    <w:rsid w:val="00306261"/>
    <w:rsid w:val="004636C9"/>
    <w:rsid w:val="004B088E"/>
    <w:rsid w:val="00560004"/>
    <w:rsid w:val="00591E92"/>
    <w:rsid w:val="006350D8"/>
    <w:rsid w:val="00757C01"/>
    <w:rsid w:val="00804BA2"/>
    <w:rsid w:val="00A62FCE"/>
    <w:rsid w:val="00AB67C6"/>
    <w:rsid w:val="00BF1AF7"/>
    <w:rsid w:val="00D514BF"/>
    <w:rsid w:val="00D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8843"/>
  <w15:docId w15:val="{B611F40E-82E2-497A-BF0F-61447A89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341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341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4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4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4 pt"/>
    <w:basedOn w:val="Bodytext2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sid w:val="0014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14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30"/>
      <w:szCs w:val="30"/>
      <w:u w:val="none"/>
      <w:lang w:val="en-US" w:eastAsia="en-US" w:bidi="en-US"/>
    </w:rPr>
  </w:style>
  <w:style w:type="character" w:customStyle="1" w:styleId="Bodytext2Italic">
    <w:name w:val="Body text (2) + Italic"/>
    <w:aliases w:val="Spacing 3 pt"/>
    <w:basedOn w:val="Bodytext2"/>
    <w:rsid w:val="0014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14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al"/>
    <w:link w:val="Bodytext3"/>
    <w:rsid w:val="0014341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4341C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4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4341C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14341C"/>
    <w:pPr>
      <w:shd w:val="clear" w:color="auto" w:fill="FFFFFF"/>
      <w:spacing w:before="240" w:after="48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14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14341C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i/>
      <w:iCs/>
      <w:spacing w:val="70"/>
      <w:sz w:val="30"/>
      <w:szCs w:val="30"/>
      <w:lang w:val="en-US" w:eastAsia="en-US" w:bidi="en-US"/>
    </w:rPr>
  </w:style>
  <w:style w:type="paragraph" w:customStyle="1" w:styleId="Bodytext60">
    <w:name w:val="Body text (6)"/>
    <w:basedOn w:val="Normal"/>
    <w:link w:val="Bodytext6"/>
    <w:rsid w:val="0014341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757C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11</cp:revision>
  <dcterms:created xsi:type="dcterms:W3CDTF">2019-01-21T06:09:00Z</dcterms:created>
  <dcterms:modified xsi:type="dcterms:W3CDTF">2020-03-11T05:28:00Z</dcterms:modified>
</cp:coreProperties>
</file>